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291411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2022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Pr="002079AB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C" w:rsidRDefault="005E721D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 w:rsidR="0077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5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7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77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770593" w:rsidRDefault="00770593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93" w:rsidRPr="00770593" w:rsidRDefault="00770593" w:rsidP="00770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2022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 № 29-р от 29</w:t>
      </w:r>
      <w:r w:rsidR="00622CB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 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распоряжения № 1-р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0F7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593">
        <w:rPr>
          <w:rFonts w:ascii="Times New Roman" w:hAnsi="Times New Roman" w:cs="Times New Roman"/>
          <w:sz w:val="24"/>
          <w:szCs w:val="24"/>
          <w:lang w:eastAsia="ru-RU"/>
        </w:rPr>
        <w:t>проведена проверка законности, результативности, эффективности и целевого использования средств местного бюджета, выделенных для осуществления установленных функций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2D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Муниципального бюджетного учреждения «Центр культуры и спорта»</w:t>
      </w:r>
      <w:r w:rsidR="004042D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770593">
        <w:rPr>
          <w:rFonts w:ascii="Times New Roman" w:hAnsi="Times New Roman" w:cs="Times New Roman"/>
          <w:sz w:val="24"/>
          <w:szCs w:val="24"/>
          <w:lang w:eastAsia="ru-RU"/>
        </w:rPr>
        <w:t>за период 2019-2020 годы и 9 месяцев 2021 года.</w:t>
      </w:r>
    </w:p>
    <w:p w:rsidR="005E721D" w:rsidRPr="00160F79" w:rsidRDefault="005E721D" w:rsidP="00160F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98F" w:rsidRDefault="005E721D" w:rsidP="00BF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1329" w:rsidRPr="00871329" w:rsidRDefault="00871329" w:rsidP="0087132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  <w:shd w:val="clear" w:color="auto" w:fill="FFFFFF"/>
        </w:rPr>
        <w:t>1. Н</w:t>
      </w:r>
      <w:r w:rsidRPr="00871329">
        <w:rPr>
          <w:rFonts w:ascii="Times New Roman" w:hAnsi="Times New Roman"/>
          <w:bCs/>
          <w:iCs/>
          <w:sz w:val="24"/>
          <w:szCs w:val="24"/>
        </w:rPr>
        <w:t>е соблюдены требования законодательства РФ к формированию Учетной политики учреждения (пункт 2.1. Классификатора</w:t>
      </w:r>
      <w:r w:rsidRPr="00871329">
        <w:rPr>
          <w:rFonts w:ascii="Times New Roman" w:hAnsi="Times New Roman"/>
          <w:sz w:val="24"/>
          <w:szCs w:val="24"/>
        </w:rPr>
        <w:t xml:space="preserve"> нарушений, выявляемых в ходе внешнего государственного аудита (контроля), одобренного Советом контрольно-счетных органов при Счетной палате РФ 17.12.2014, протокол № 2-СКСО, Коллегией Счетной палаты РФ 18.12.2014 (далее – Классификатор нарушений)): 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>1.1. В нарушение части 2 статьи 8 Федерального закона от 06.12.2011№ 402-ФЗ «О бухгалтерском учете» (далее – Закон № 402-ФЗ) в</w:t>
      </w:r>
      <w:r w:rsidRPr="008713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71329">
        <w:rPr>
          <w:rFonts w:ascii="Times New Roman" w:hAnsi="Times New Roman"/>
          <w:sz w:val="24"/>
          <w:szCs w:val="24"/>
          <w:shd w:val="clear" w:color="auto" w:fill="FFFFFF"/>
        </w:rPr>
        <w:t>Учетной политике учреждения</w:t>
      </w:r>
      <w:r w:rsidRPr="00871329">
        <w:rPr>
          <w:rFonts w:ascii="Times New Roman" w:hAnsi="Times New Roman"/>
          <w:bCs/>
          <w:iCs/>
          <w:sz w:val="24"/>
          <w:szCs w:val="24"/>
        </w:rPr>
        <w:t xml:space="preserve"> не</w:t>
      </w:r>
      <w:r w:rsidRPr="00871329">
        <w:rPr>
          <w:rFonts w:ascii="Times New Roman" w:hAnsi="Times New Roman"/>
          <w:sz w:val="24"/>
          <w:szCs w:val="24"/>
          <w:shd w:val="clear" w:color="auto" w:fill="FFFFFF"/>
        </w:rPr>
        <w:t xml:space="preserve"> предусмотрен Федеральный стандарт </w:t>
      </w:r>
      <w:r w:rsidRPr="00871329">
        <w:rPr>
          <w:rFonts w:ascii="Times New Roman" w:hAnsi="Times New Roman"/>
          <w:sz w:val="24"/>
          <w:szCs w:val="24"/>
        </w:rPr>
        <w:t>бухгалтерского учета для организаций государственного сектора «Бюджетная информация в бухгалтерской (финансовой) отчетности»</w:t>
      </w:r>
      <w:r w:rsidRPr="00871329">
        <w:rPr>
          <w:rFonts w:ascii="Times New Roman" w:hAnsi="Times New Roman"/>
          <w:sz w:val="24"/>
          <w:szCs w:val="24"/>
          <w:shd w:val="clear" w:color="auto" w:fill="FFFFFF"/>
        </w:rPr>
        <w:t xml:space="preserve">, утвержденный </w:t>
      </w:r>
      <w:r w:rsidRPr="00871329">
        <w:rPr>
          <w:rFonts w:ascii="Times New Roman" w:hAnsi="Times New Roman"/>
          <w:sz w:val="24"/>
          <w:szCs w:val="24"/>
        </w:rPr>
        <w:t>приказом Минфина России от 28.02.2018 № 37н</w:t>
      </w:r>
      <w:r w:rsidRPr="00871329">
        <w:rPr>
          <w:rFonts w:ascii="Times New Roman" w:hAnsi="Times New Roman"/>
          <w:sz w:val="24"/>
          <w:szCs w:val="24"/>
          <w:shd w:val="clear" w:color="auto" w:fill="FFFFFF"/>
        </w:rPr>
        <w:t>, обязательный к применению с</w:t>
      </w:r>
      <w:r w:rsidRPr="00871329">
        <w:rPr>
          <w:rFonts w:ascii="Times New Roman" w:hAnsi="Times New Roman"/>
          <w:bCs/>
          <w:iCs/>
          <w:sz w:val="24"/>
          <w:szCs w:val="24"/>
        </w:rPr>
        <w:t xml:space="preserve"> 01.01.2020</w:t>
      </w:r>
      <w:r w:rsidRPr="00871329">
        <w:rPr>
          <w:rFonts w:ascii="Times New Roman" w:hAnsi="Times New Roman"/>
          <w:sz w:val="24"/>
          <w:szCs w:val="24"/>
        </w:rPr>
        <w:t>, н</w:t>
      </w:r>
      <w:r w:rsidRPr="00871329">
        <w:rPr>
          <w:rFonts w:ascii="Times New Roman" w:hAnsi="Times New Roman"/>
          <w:bCs/>
          <w:iCs/>
          <w:sz w:val="24"/>
          <w:szCs w:val="24"/>
        </w:rPr>
        <w:t xml:space="preserve">е предусмотрен </w:t>
      </w:r>
      <w:r w:rsidRPr="00871329">
        <w:rPr>
          <w:rFonts w:ascii="Times New Roman" w:hAnsi="Times New Roman"/>
          <w:sz w:val="24"/>
          <w:szCs w:val="24"/>
        </w:rPr>
        <w:t>порядок составления, представления годовой, квартальной бухгалтерской отчетности бюджетных учреждений 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33н.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 xml:space="preserve">1.2. </w:t>
      </w:r>
      <w:r w:rsidRPr="00871329">
        <w:rPr>
          <w:rFonts w:ascii="Times New Roman" w:hAnsi="Times New Roman"/>
          <w:sz w:val="24"/>
          <w:szCs w:val="24"/>
          <w:shd w:val="clear" w:color="auto" w:fill="FFFFFF"/>
        </w:rPr>
        <w:t>Учтен нормативный акт утративший силу - п</w:t>
      </w:r>
      <w:r w:rsidRPr="00871329">
        <w:rPr>
          <w:rFonts w:ascii="Times New Roman" w:hAnsi="Times New Roman"/>
          <w:sz w:val="24"/>
          <w:szCs w:val="24"/>
        </w:rPr>
        <w:t xml:space="preserve">риказ Минфина РФ от 29.08.2001 № 68н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 утратил силу в связи с изданием </w:t>
      </w:r>
      <w:r w:rsidRPr="00871329">
        <w:rPr>
          <w:rFonts w:ascii="Times New Roman" w:hAnsi="Times New Roman"/>
          <w:bCs/>
          <w:iCs/>
          <w:sz w:val="24"/>
          <w:szCs w:val="24"/>
        </w:rPr>
        <w:t xml:space="preserve">приказа Минфина России от </w:t>
      </w:r>
      <w:r w:rsidRPr="00871329">
        <w:rPr>
          <w:rFonts w:ascii="Times New Roman" w:hAnsi="Times New Roman"/>
          <w:sz w:val="24"/>
          <w:szCs w:val="24"/>
        </w:rPr>
        <w:t>09.12.2016 № 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</w:t>
      </w:r>
      <w:r w:rsidRPr="00871329">
        <w:rPr>
          <w:rFonts w:ascii="Times New Roman" w:hAnsi="Times New Roman"/>
          <w:bCs/>
          <w:iCs/>
          <w:sz w:val="24"/>
          <w:szCs w:val="24"/>
        </w:rPr>
        <w:t>.</w:t>
      </w:r>
    </w:p>
    <w:p w:rsidR="00871329" w:rsidRPr="00871329" w:rsidRDefault="00871329" w:rsidP="00871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 xml:space="preserve">2. Не соблюдены требования </w:t>
      </w:r>
      <w:hyperlink r:id="rId6" w:history="1">
        <w:r w:rsidRPr="00871329">
          <w:rPr>
            <w:rFonts w:ascii="Times New Roman" w:hAnsi="Times New Roman"/>
            <w:bCs/>
            <w:sz w:val="24"/>
            <w:szCs w:val="24"/>
          </w:rPr>
          <w:t>статьи 9</w:t>
        </w:r>
      </w:hyperlink>
      <w:r w:rsidRPr="00871329">
        <w:rPr>
          <w:rFonts w:ascii="Times New Roman" w:hAnsi="Times New Roman"/>
          <w:bCs/>
          <w:sz w:val="24"/>
          <w:szCs w:val="24"/>
        </w:rPr>
        <w:t xml:space="preserve"> Закона № 402-ФЗ,</w:t>
      </w:r>
      <w:hyperlink r:id="rId7" w:history="1"/>
      <w:r w:rsidRPr="00871329">
        <w:rPr>
          <w:rFonts w:ascii="Times New Roman" w:hAnsi="Times New Roman"/>
          <w:bCs/>
          <w:sz w:val="24"/>
          <w:szCs w:val="24"/>
        </w:rPr>
        <w:t xml:space="preserve"> приказа Минфина РФ </w:t>
      </w:r>
      <w:r w:rsidRPr="00871329">
        <w:rPr>
          <w:rFonts w:ascii="Times New Roman" w:hAnsi="Times New Roman"/>
          <w:sz w:val="24"/>
          <w:szCs w:val="24"/>
        </w:rPr>
        <w:t xml:space="preserve"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</w:t>
      </w:r>
      <w:r w:rsidRPr="00871329">
        <w:rPr>
          <w:rFonts w:ascii="Times New Roman" w:hAnsi="Times New Roman"/>
          <w:bCs/>
          <w:sz w:val="24"/>
          <w:szCs w:val="24"/>
        </w:rPr>
        <w:t>№ 52н)</w:t>
      </w:r>
      <w:r w:rsidRPr="00871329">
        <w:rPr>
          <w:rFonts w:ascii="Times New Roman" w:hAnsi="Times New Roman"/>
          <w:sz w:val="24"/>
          <w:szCs w:val="24"/>
        </w:rPr>
        <w:t>, установленные к форме Табеля учета рабочего времени.</w:t>
      </w:r>
    </w:p>
    <w:p w:rsidR="00871329" w:rsidRPr="00871329" w:rsidRDefault="00871329" w:rsidP="00871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>3. В нарушение пункта 4.6. Положения о внебюджетной деятельности муниципального бюджетного учреждения «</w:t>
      </w:r>
      <w:proofErr w:type="spellStart"/>
      <w:r w:rsidRPr="00871329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871329">
        <w:rPr>
          <w:rFonts w:ascii="Times New Roman" w:hAnsi="Times New Roman"/>
          <w:sz w:val="24"/>
          <w:szCs w:val="24"/>
        </w:rPr>
        <w:t xml:space="preserve"> центр», утвержденного приказом от 08.02.2019 № 5 (далее – Положение по платным услугам)</w:t>
      </w:r>
      <w:r w:rsidRPr="00871329">
        <w:rPr>
          <w:rFonts w:ascii="Times New Roman" w:hAnsi="Times New Roman"/>
          <w:i/>
          <w:sz w:val="24"/>
          <w:szCs w:val="24"/>
        </w:rPr>
        <w:t xml:space="preserve">, </w:t>
      </w:r>
      <w:r w:rsidRPr="00871329">
        <w:rPr>
          <w:rFonts w:ascii="Times New Roman" w:hAnsi="Times New Roman"/>
          <w:sz w:val="24"/>
          <w:szCs w:val="24"/>
        </w:rPr>
        <w:t>цены и тарифы на платные услуги с учредителем не согласованы.</w:t>
      </w:r>
    </w:p>
    <w:p w:rsidR="00871329" w:rsidRPr="00871329" w:rsidRDefault="00871329" w:rsidP="008713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ab/>
        <w:t>4. В нарушение подпункта «и» пункта 5.1. Устава м</w:t>
      </w:r>
      <w:r w:rsidRPr="0087132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униципального </w:t>
      </w:r>
      <w:r w:rsidRPr="0087132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бюджетного учреждения «Центр культуры и спорта </w:t>
      </w:r>
      <w:proofErr w:type="spellStart"/>
      <w:r w:rsidRPr="00871329">
        <w:rPr>
          <w:rFonts w:ascii="Times New Roman" w:hAnsi="Times New Roman"/>
          <w:sz w:val="24"/>
          <w:szCs w:val="24"/>
          <w:bdr w:val="none" w:sz="0" w:space="0" w:color="auto" w:frame="1"/>
        </w:rPr>
        <w:t>Чемальского</w:t>
      </w:r>
      <w:proofErr w:type="spellEnd"/>
      <w:r w:rsidRPr="0087132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района»</w:t>
      </w:r>
      <w:r w:rsidRPr="00871329">
        <w:rPr>
          <w:rFonts w:ascii="Times New Roman" w:hAnsi="Times New Roman"/>
          <w:sz w:val="24"/>
          <w:szCs w:val="24"/>
        </w:rPr>
        <w:t xml:space="preserve">, утвержденного постановлением Администрации </w:t>
      </w:r>
      <w:proofErr w:type="spellStart"/>
      <w:r w:rsidRPr="00871329">
        <w:rPr>
          <w:rFonts w:ascii="Times New Roman" w:hAnsi="Times New Roman"/>
          <w:sz w:val="24"/>
          <w:szCs w:val="24"/>
        </w:rPr>
        <w:t>Чемальского</w:t>
      </w:r>
      <w:proofErr w:type="spellEnd"/>
      <w:r w:rsidRPr="00871329">
        <w:rPr>
          <w:rFonts w:ascii="Times New Roman" w:hAnsi="Times New Roman"/>
          <w:sz w:val="24"/>
          <w:szCs w:val="24"/>
        </w:rPr>
        <w:t xml:space="preserve"> района от 26.02.2019 № 20 контроль со стороны учредителя</w:t>
      </w:r>
      <w:r w:rsidRPr="0087132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1329">
        <w:rPr>
          <w:rFonts w:ascii="Times New Roman" w:hAnsi="Times New Roman"/>
          <w:sz w:val="24"/>
          <w:szCs w:val="24"/>
        </w:rPr>
        <w:t>в части организации внебюджетной деятельности учреждения отсутствует.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lastRenderedPageBreak/>
        <w:t xml:space="preserve">5. В связи с переименованием учреждения локальный нормативный акт, регулирующий внебюджетную деятельность учреждения, не актуализирован (постановления Администрации </w:t>
      </w:r>
      <w:proofErr w:type="spellStart"/>
      <w:r w:rsidRPr="00871329">
        <w:rPr>
          <w:rFonts w:ascii="Times New Roman" w:hAnsi="Times New Roman"/>
          <w:sz w:val="24"/>
          <w:szCs w:val="24"/>
        </w:rPr>
        <w:t>Чемальского</w:t>
      </w:r>
      <w:proofErr w:type="spellEnd"/>
      <w:r w:rsidRPr="00871329">
        <w:rPr>
          <w:rFonts w:ascii="Times New Roman" w:hAnsi="Times New Roman"/>
          <w:sz w:val="24"/>
          <w:szCs w:val="24"/>
        </w:rPr>
        <w:t xml:space="preserve"> района от 26.02.2019 № 20 «О переименовании учреждения и утверждении Устава в новой редакции»).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bCs/>
          <w:sz w:val="24"/>
          <w:szCs w:val="24"/>
        </w:rPr>
        <w:t>6. В нарушение П</w:t>
      </w:r>
      <w:r w:rsidRPr="00871329">
        <w:rPr>
          <w:rFonts w:ascii="Times New Roman" w:hAnsi="Times New Roman"/>
          <w:sz w:val="24"/>
          <w:szCs w:val="24"/>
        </w:rPr>
        <w:t xml:space="preserve">оложения об оплате труда работников муниципального бюджетного учреждения «Центр культуры и спорта </w:t>
      </w:r>
      <w:proofErr w:type="spellStart"/>
      <w:r w:rsidRPr="00871329">
        <w:rPr>
          <w:rFonts w:ascii="Times New Roman" w:hAnsi="Times New Roman"/>
          <w:sz w:val="24"/>
          <w:szCs w:val="24"/>
        </w:rPr>
        <w:t>Чемальского</w:t>
      </w:r>
      <w:proofErr w:type="spellEnd"/>
      <w:r w:rsidRPr="00871329">
        <w:rPr>
          <w:rFonts w:ascii="Times New Roman" w:hAnsi="Times New Roman"/>
          <w:sz w:val="24"/>
          <w:szCs w:val="24"/>
        </w:rPr>
        <w:t xml:space="preserve"> района», утвержденного приказом от 02.04.2019 № 16/1 (далее – Положение об оплате труда), в лицевых счетах по заработной плате работников (в графе постоянных начислений на оплату труда, надбавок, доплат и т.д.) установлены начисления под наименованием «Повышение 15% с 01.01.2013г.». Выплат стимулирующего характера с таким наименованием в штатных расписаниях также, не имеется. 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 xml:space="preserve">7. Мероприятия по исполнению Указа Президента РФ от 07.05.2012 № 597 «О мероприятиях по реализации государственной социальной политики»  (далее – Указ № 597) по недопущению снижения показателей оплаты труда работников учреждения культуры, непосредственно связанных с основной деятельностью, в проверяемом периоде проводились не в полном объеме. Анализ заработной платы работников учреждения показал, что среднемесячная начисленная заработная плата работников отделов, непосредственно связанных с основной деятельностью ниже уровня среднемесячной номинальной начисленной заработной платы работников по региону (Пресс-релиз Территориального органа федеральной службы государственной статистики по Новосибирской области от 03.03.2021 № 49). 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>8. В нарушение локального нормативного акта учреждения (приказ от 09.01.2019 № 4) при начислении заработной платы работнику доплата за особые условия труда в 2019 году не выплачена на общую сумму 4 358,97 рублей.</w:t>
      </w:r>
    </w:p>
    <w:p w:rsidR="00871329" w:rsidRPr="00871329" w:rsidRDefault="00871329" w:rsidP="00871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329">
        <w:rPr>
          <w:rFonts w:ascii="Times New Roman" w:hAnsi="Times New Roman" w:cs="Times New Roman"/>
          <w:sz w:val="24"/>
          <w:szCs w:val="24"/>
        </w:rPr>
        <w:t xml:space="preserve">9. В нарушение статьи 145 ТК РФ, установлено превышение предельного уровня соотношений, установленных пунктом 11 постановления Администрации </w:t>
      </w:r>
      <w:proofErr w:type="spellStart"/>
      <w:r w:rsidRPr="00871329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871329">
        <w:rPr>
          <w:rFonts w:ascii="Times New Roman" w:hAnsi="Times New Roman" w:cs="Times New Roman"/>
          <w:sz w:val="24"/>
          <w:szCs w:val="24"/>
        </w:rPr>
        <w:t xml:space="preserve"> района от 22.11.2018 № 154 «О системах оплаты труда работников органов местного самоуправления и работников муниципальных учреждений МО «</w:t>
      </w:r>
      <w:proofErr w:type="spellStart"/>
      <w:r w:rsidRPr="00871329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871329">
        <w:rPr>
          <w:rFonts w:ascii="Times New Roman" w:hAnsi="Times New Roman" w:cs="Times New Roman"/>
          <w:sz w:val="24"/>
          <w:szCs w:val="24"/>
        </w:rPr>
        <w:t xml:space="preserve"> район»»</w:t>
      </w:r>
      <w:r w:rsidRPr="00871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329">
        <w:rPr>
          <w:rFonts w:ascii="Times New Roman" w:hAnsi="Times New Roman" w:cs="Times New Roman"/>
          <w:sz w:val="24"/>
          <w:szCs w:val="24"/>
        </w:rPr>
        <w:t xml:space="preserve">между среднемесячной заработной платой руководителя, главного бухгалтера и среднемесячной заработной платой работников учреждения.  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71329">
        <w:rPr>
          <w:rFonts w:ascii="Times New Roman" w:hAnsi="Times New Roman"/>
          <w:i/>
          <w:sz w:val="24"/>
          <w:szCs w:val="24"/>
        </w:rPr>
        <w:t xml:space="preserve">В отношении указанных нарушений применяются общие нормы об ответственности за нарушение требований трудового законодательства РФ, учреждение может быть привлечено к административной ответственности по </w:t>
      </w:r>
      <w:hyperlink r:id="rId8" w:history="1">
        <w:r w:rsidRPr="00871329">
          <w:rPr>
            <w:rFonts w:ascii="Times New Roman" w:hAnsi="Times New Roman"/>
            <w:i/>
            <w:sz w:val="24"/>
            <w:szCs w:val="24"/>
          </w:rPr>
          <w:t>части 1 статьи 5.27</w:t>
        </w:r>
      </w:hyperlink>
      <w:r w:rsidRPr="008713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1329">
        <w:rPr>
          <w:rFonts w:ascii="Times New Roman" w:hAnsi="Times New Roman"/>
          <w:i/>
          <w:sz w:val="24"/>
          <w:szCs w:val="24"/>
        </w:rPr>
        <w:t>КоАП</w:t>
      </w:r>
      <w:proofErr w:type="spellEnd"/>
      <w:r w:rsidRPr="00871329">
        <w:rPr>
          <w:rFonts w:ascii="Times New Roman" w:hAnsi="Times New Roman"/>
          <w:i/>
          <w:sz w:val="24"/>
          <w:szCs w:val="24"/>
        </w:rPr>
        <w:t xml:space="preserve"> РФ.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 xml:space="preserve">10. В нарушение требований, установленных частью 2 статьи 9 Закона      № 402-ФЗ к оформлению первичных учетных документов обоснованность списания </w:t>
      </w:r>
      <w:proofErr w:type="spellStart"/>
      <w:r w:rsidRPr="00871329">
        <w:rPr>
          <w:rFonts w:ascii="Times New Roman" w:hAnsi="Times New Roman"/>
          <w:sz w:val="24"/>
          <w:szCs w:val="24"/>
        </w:rPr>
        <w:t>гсм</w:t>
      </w:r>
      <w:proofErr w:type="spellEnd"/>
      <w:r w:rsidRPr="00871329">
        <w:rPr>
          <w:rFonts w:ascii="Times New Roman" w:hAnsi="Times New Roman"/>
          <w:sz w:val="24"/>
          <w:szCs w:val="24"/>
        </w:rPr>
        <w:t xml:space="preserve"> в количестве 217,84 л. не обеспечена, поскольку в путевых листах отсутствуют показания спидометра при выезде и возвращении автомобиля, показатели движения горючего, показатели расхода (фактического и по норме), а также показатели экономии/перерасхода.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 xml:space="preserve">11. В нарушение части 3 статьи 9 Закона № 402-ФЗ установлены факты, свидетельствующие об искажении данных, содержащихся в первичных учетных документах (путевых листах), в результате обоснованность списания </w:t>
      </w:r>
      <w:proofErr w:type="spellStart"/>
      <w:r w:rsidRPr="00871329">
        <w:rPr>
          <w:rFonts w:ascii="Times New Roman" w:hAnsi="Times New Roman"/>
          <w:sz w:val="24"/>
          <w:szCs w:val="24"/>
        </w:rPr>
        <w:t>гсм</w:t>
      </w:r>
      <w:proofErr w:type="spellEnd"/>
      <w:r w:rsidRPr="00871329">
        <w:rPr>
          <w:rFonts w:ascii="Times New Roman" w:hAnsi="Times New Roman"/>
          <w:sz w:val="24"/>
          <w:szCs w:val="24"/>
        </w:rPr>
        <w:t xml:space="preserve"> в количестве 58,14 л. не обеспечена. Указанные нарушения свидетельствуют об отсутствии контроля со стороны лиц, ответственных за оформление фактов хозяйственной жизни и регистрацию в бухгалтерском учете первичных учетных документов (путевых листов), не соответствующих требованиям бухгалтерского законодательства РФ в учреждении.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>12.</w:t>
      </w:r>
      <w:r w:rsidRPr="0087132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1329">
        <w:rPr>
          <w:rFonts w:ascii="Times New Roman" w:hAnsi="Times New Roman"/>
          <w:sz w:val="24"/>
          <w:szCs w:val="24"/>
        </w:rPr>
        <w:t xml:space="preserve">В нарушение приказа № 52н оформлено списание объектов основных средств на бланках, применяемых для оформления решения о списании материальных запасов (Акты о списании материальных запасов ф. 0504230). Следовательно, учреждением допущено оформление выбытия объектов основных средств на общую сумму 183 463,00 рублей с нарушением требований, предъявляемых к оформлению первичных учетных документов </w:t>
      </w:r>
      <w:r w:rsidRPr="00871329">
        <w:rPr>
          <w:rFonts w:ascii="Times New Roman" w:hAnsi="Times New Roman"/>
          <w:bCs/>
          <w:iCs/>
          <w:sz w:val="24"/>
          <w:szCs w:val="24"/>
        </w:rPr>
        <w:t>(пункт 2.1. Классификатора</w:t>
      </w:r>
      <w:r w:rsidRPr="00871329">
        <w:rPr>
          <w:rFonts w:ascii="Times New Roman" w:hAnsi="Times New Roman"/>
          <w:sz w:val="24"/>
          <w:szCs w:val="24"/>
        </w:rPr>
        <w:t xml:space="preserve"> нарушений).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lastRenderedPageBreak/>
        <w:t>13. В нарушение части 3 статьи 9 Закона № 402-ФЗ выявлен первичный учетный документ (Акт о списании материальных запасов) на общую сумму 3 330,00 рублей, с допущенной арифметической ошибкой, при этом расхождение не повлекло искажения отчетных показателей, поскольку в регистрах бухгалтерского учета отражены фактические достоверные данные.</w:t>
      </w:r>
    </w:p>
    <w:p w:rsidR="00871329" w:rsidRDefault="00871329" w:rsidP="008713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 w:rsidRPr="00871329">
        <w:rPr>
          <w:rFonts w:ascii="Times New Roman" w:hAnsi="Times New Roman"/>
          <w:sz w:val="24"/>
          <w:szCs w:val="24"/>
        </w:rPr>
        <w:t>14. В нарушение пункта 349 Инструкции № 157н, пункта 4.10. Учетной политики учреждения на счете 09 «</w:t>
      </w:r>
      <w:r w:rsidRPr="00871329">
        <w:rPr>
          <w:rFonts w:ascii="Times New Roman" w:hAnsi="Times New Roman"/>
          <w:bCs/>
          <w:sz w:val="24"/>
          <w:szCs w:val="24"/>
        </w:rPr>
        <w:t>Запасные части к транспортным средствам, выданные взамен изношенных»</w:t>
      </w:r>
      <w:r w:rsidRPr="00871329">
        <w:rPr>
          <w:rFonts w:ascii="Times New Roman" w:hAnsi="Times New Roman"/>
          <w:sz w:val="24"/>
          <w:szCs w:val="24"/>
        </w:rPr>
        <w:t xml:space="preserve"> учет материальных ценностей, выданных на транспортные средства взамен изношенных, </w:t>
      </w:r>
      <w:r w:rsidRPr="00871329">
        <w:rPr>
          <w:rFonts w:ascii="Times New Roman" w:hAnsi="Times New Roman"/>
          <w:bCs/>
          <w:sz w:val="24"/>
          <w:szCs w:val="24"/>
        </w:rPr>
        <w:t xml:space="preserve">не велся. Данное нарушение повлекло </w:t>
      </w:r>
      <w:r w:rsidRPr="00871329">
        <w:rPr>
          <w:rFonts w:ascii="Times New Roman" w:hAnsi="Times New Roman"/>
          <w:sz w:val="24"/>
          <w:szCs w:val="24"/>
        </w:rPr>
        <w:t>искажение показателей бухгалтерской (финансовой) отчетности на 01.01.2020, на 01.01.2021, на 01.10.2021 по строке 09 «</w:t>
      </w:r>
      <w:r w:rsidRPr="00871329">
        <w:rPr>
          <w:rFonts w:ascii="Times New Roman" w:hAnsi="Times New Roman"/>
          <w:bCs/>
          <w:sz w:val="24"/>
          <w:szCs w:val="24"/>
        </w:rPr>
        <w:t>Запасные части к транспортным средствам, выданные взамен изношенных»</w:t>
      </w:r>
      <w:r w:rsidRPr="00871329">
        <w:rPr>
          <w:rFonts w:ascii="Times New Roman" w:hAnsi="Times New Roman"/>
          <w:sz w:val="24"/>
          <w:szCs w:val="24"/>
        </w:rPr>
        <w:t xml:space="preserve"> Справки о наличии имущества и обязательств на </w:t>
      </w:r>
      <w:proofErr w:type="spellStart"/>
      <w:r w:rsidRPr="00871329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871329">
        <w:rPr>
          <w:rFonts w:ascii="Times New Roman" w:hAnsi="Times New Roman"/>
          <w:sz w:val="24"/>
          <w:szCs w:val="24"/>
        </w:rPr>
        <w:t xml:space="preserve"> счета (форма 0503730) на сумму 87 рублей (100%). </w:t>
      </w:r>
      <w:r w:rsidRPr="00871329">
        <w:rPr>
          <w:rFonts w:ascii="Times New Roman" w:hAnsi="Times New Roman"/>
          <w:i/>
          <w:sz w:val="24"/>
          <w:szCs w:val="24"/>
        </w:rPr>
        <w:t xml:space="preserve">Указанные нарушения содержат признаки административного правонарушения, предусмотренного </w:t>
      </w:r>
      <w:hyperlink r:id="rId9" w:history="1">
        <w:r w:rsidRPr="00871329">
          <w:rPr>
            <w:rFonts w:ascii="Times New Roman" w:hAnsi="Times New Roman"/>
            <w:i/>
            <w:sz w:val="24"/>
            <w:szCs w:val="24"/>
          </w:rPr>
          <w:t>частью 1 статьи 15.</w:t>
        </w:r>
      </w:hyperlink>
      <w:r w:rsidRPr="00871329">
        <w:rPr>
          <w:rFonts w:ascii="Times New Roman" w:hAnsi="Times New Roman"/>
          <w:i/>
          <w:sz w:val="24"/>
          <w:szCs w:val="24"/>
        </w:rPr>
        <w:t xml:space="preserve">11 </w:t>
      </w:r>
      <w:proofErr w:type="spellStart"/>
      <w:r w:rsidRPr="00871329">
        <w:rPr>
          <w:rFonts w:ascii="Times New Roman" w:hAnsi="Times New Roman"/>
          <w:i/>
          <w:sz w:val="24"/>
          <w:szCs w:val="24"/>
        </w:rPr>
        <w:t>КоАП</w:t>
      </w:r>
      <w:proofErr w:type="spellEnd"/>
      <w:r w:rsidRPr="00871329">
        <w:rPr>
          <w:rFonts w:ascii="Times New Roman" w:hAnsi="Times New Roman"/>
          <w:i/>
          <w:sz w:val="24"/>
          <w:szCs w:val="24"/>
        </w:rPr>
        <w:t xml:space="preserve"> РФ (пункт 2.12 Классификатора нарушений).</w:t>
      </w:r>
      <w:r w:rsidRPr="0087132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871329" w:rsidRPr="00871329" w:rsidRDefault="00871329" w:rsidP="008713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524CD4" w:rsidRPr="00524CD4" w:rsidRDefault="0080774E" w:rsidP="00524CD4">
      <w:pPr>
        <w:pStyle w:val="a4"/>
        <w:jc w:val="both"/>
        <w:rPr>
          <w:rFonts w:ascii="Times New Roman" w:hAnsi="Times New Roman" w:cs="Times New Roman"/>
        </w:rPr>
      </w:pPr>
      <w:r w:rsidRPr="00807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1329" w:rsidRPr="00804A4C"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составлен Акт, выписано Представление на </w:t>
      </w:r>
      <w:r w:rsidR="00871329">
        <w:rPr>
          <w:rFonts w:ascii="Times New Roman" w:hAnsi="Times New Roman" w:cs="Times New Roman"/>
          <w:sz w:val="24"/>
          <w:szCs w:val="24"/>
        </w:rPr>
        <w:t xml:space="preserve">устранение выявленных нарушений, составлен протокол об административном правонарушении по ч.1 ст.15.11 </w:t>
      </w:r>
      <w:proofErr w:type="spellStart"/>
      <w:r w:rsidR="0087132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871329">
        <w:rPr>
          <w:rFonts w:ascii="Times New Roman" w:hAnsi="Times New Roman" w:cs="Times New Roman"/>
          <w:sz w:val="24"/>
          <w:szCs w:val="24"/>
        </w:rPr>
        <w:t xml:space="preserve"> РФ</w:t>
      </w:r>
      <w:r w:rsidR="00524CD4">
        <w:rPr>
          <w:rFonts w:ascii="Times New Roman" w:hAnsi="Times New Roman" w:cs="Times New Roman"/>
          <w:sz w:val="24"/>
          <w:szCs w:val="24"/>
        </w:rPr>
        <w:t>.</w:t>
      </w: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</w:p>
    <w:p w:rsidR="003201EC" w:rsidRPr="00D74679" w:rsidRDefault="003201EC" w:rsidP="003201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О проведении контрольных и экспертно-аналитических мероприятий</w:t>
      </w:r>
    </w:p>
    <w:p w:rsidR="003201EC" w:rsidRDefault="003201EC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по проверкам годовой бюджетной отчетности и годового отчета об исполнении бюджета муниципальных образований сел</w:t>
      </w:r>
      <w:r w:rsidR="00524CD4">
        <w:rPr>
          <w:rFonts w:ascii="Times New Roman" w:hAnsi="Times New Roman" w:cs="Times New Roman"/>
          <w:b/>
          <w:bCs/>
          <w:sz w:val="24"/>
          <w:szCs w:val="24"/>
        </w:rPr>
        <w:t>ьских поселений за 2021</w:t>
      </w:r>
      <w:r w:rsidR="00D74679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D74679" w:rsidRPr="00D74679" w:rsidRDefault="00D74679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1EC" w:rsidRPr="00D74679" w:rsidRDefault="003201EC" w:rsidP="00320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    По ре</w:t>
      </w:r>
      <w:r w:rsidR="00A65677">
        <w:rPr>
          <w:rFonts w:ascii="Times New Roman" w:hAnsi="Times New Roman" w:cs="Times New Roman"/>
          <w:bCs/>
          <w:sz w:val="24"/>
          <w:szCs w:val="24"/>
        </w:rPr>
        <w:t>з</w:t>
      </w:r>
      <w:r w:rsidR="00524CD4">
        <w:rPr>
          <w:rFonts w:ascii="Times New Roman" w:hAnsi="Times New Roman" w:cs="Times New Roman"/>
          <w:bCs/>
          <w:sz w:val="24"/>
          <w:szCs w:val="24"/>
        </w:rPr>
        <w:t>ультатам исполнения бюджета 2021</w:t>
      </w:r>
      <w:r w:rsidR="00615CC6" w:rsidRPr="00D74679">
        <w:rPr>
          <w:rFonts w:ascii="Times New Roman" w:hAnsi="Times New Roman" w:cs="Times New Roman"/>
          <w:bCs/>
          <w:sz w:val="24"/>
          <w:szCs w:val="24"/>
        </w:rPr>
        <w:t xml:space="preserve"> года составлено 11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Актов: проверено 7 муниципальных о</w:t>
      </w:r>
      <w:r w:rsidR="00615CC6" w:rsidRPr="00D74679">
        <w:rPr>
          <w:rFonts w:ascii="Times New Roman" w:hAnsi="Times New Roman" w:cs="Times New Roman"/>
          <w:bCs/>
          <w:sz w:val="24"/>
          <w:szCs w:val="24"/>
        </w:rPr>
        <w:t xml:space="preserve">бразований сельских поселений, 4 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главных распорядителя бюджетны</w:t>
      </w:r>
      <w:r w:rsidR="00524CD4">
        <w:rPr>
          <w:rFonts w:ascii="Times New Roman" w:hAnsi="Times New Roman" w:cs="Times New Roman"/>
          <w:bCs/>
          <w:sz w:val="24"/>
          <w:szCs w:val="24"/>
        </w:rPr>
        <w:t>х средств, а так же составлено 8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Заключений: 7 муниципальных об</w:t>
      </w:r>
      <w:r w:rsidR="00524CD4">
        <w:rPr>
          <w:rFonts w:ascii="Times New Roman" w:hAnsi="Times New Roman" w:cs="Times New Roman"/>
          <w:bCs/>
          <w:sz w:val="24"/>
          <w:szCs w:val="24"/>
        </w:rPr>
        <w:t>разований сельских поселений и 1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районный бюджет.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Pr="003201EC" w:rsidRDefault="003201EC" w:rsidP="003201EC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</w:t>
      </w:r>
      <w:r w:rsidR="00524CD4">
        <w:rPr>
          <w:rFonts w:ascii="Times New Roman" w:hAnsi="Times New Roman" w:cs="Times New Roman"/>
          <w:b/>
        </w:rPr>
        <w:t xml:space="preserve"> от 04</w:t>
      </w:r>
      <w:r w:rsidRPr="003201EC">
        <w:rPr>
          <w:rFonts w:ascii="Times New Roman" w:hAnsi="Times New Roman" w:cs="Times New Roman"/>
          <w:b/>
        </w:rPr>
        <w:t>.0</w:t>
      </w:r>
      <w:r w:rsidR="0096105F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E5319A">
        <w:rPr>
          <w:rFonts w:ascii="Times New Roman" w:hAnsi="Times New Roman" w:cs="Times New Roman"/>
          <w:b/>
        </w:rPr>
        <w:t>2</w:t>
      </w:r>
      <w:r w:rsidR="00524CD4">
        <w:rPr>
          <w:rFonts w:ascii="Times New Roman" w:hAnsi="Times New Roman" w:cs="Times New Roman"/>
          <w:b/>
        </w:rPr>
        <w:t>2</w:t>
      </w:r>
    </w:p>
    <w:p w:rsidR="00D34842" w:rsidRPr="003201EC" w:rsidRDefault="00D34842" w:rsidP="00F72BCD">
      <w:pPr>
        <w:pStyle w:val="a4"/>
        <w:jc w:val="both"/>
        <w:rPr>
          <w:rFonts w:ascii="Times New Roman" w:hAnsi="Times New Roman" w:cs="Times New Roman"/>
          <w:b/>
        </w:rPr>
      </w:pP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E1098C">
        <w:rPr>
          <w:rFonts w:ascii="Times New Roman" w:hAnsi="Times New Roman" w:cs="Times New Roman"/>
        </w:rPr>
        <w:t>с</w:t>
      </w:r>
      <w:r w:rsidR="00F72BCD">
        <w:rPr>
          <w:rFonts w:ascii="Times New Roman" w:hAnsi="Times New Roman" w:cs="Times New Roman"/>
        </w:rPr>
        <w:t>ии МО «</w:t>
      </w:r>
      <w:proofErr w:type="spellStart"/>
      <w:r w:rsidR="00F72BCD">
        <w:rPr>
          <w:rFonts w:ascii="Times New Roman" w:hAnsi="Times New Roman" w:cs="Times New Roman"/>
        </w:rPr>
        <w:t>Чемальский</w:t>
      </w:r>
      <w:proofErr w:type="spellEnd"/>
      <w:r w:rsidR="00F72BCD">
        <w:rPr>
          <w:rFonts w:ascii="Times New Roman" w:hAnsi="Times New Roman" w:cs="Times New Roman"/>
        </w:rPr>
        <w:t xml:space="preserve"> район» на 2022 </w:t>
      </w:r>
      <w:r w:rsidRPr="003201EC">
        <w:rPr>
          <w:rFonts w:ascii="Times New Roman" w:hAnsi="Times New Roman" w:cs="Times New Roman"/>
        </w:rPr>
        <w:t xml:space="preserve"> год, </w:t>
      </w:r>
      <w:r w:rsidR="00F72BCD">
        <w:rPr>
          <w:rFonts w:ascii="Times New Roman" w:hAnsi="Times New Roman" w:cs="Times New Roman"/>
        </w:rPr>
        <w:t>утвержденного распоряжением № 29</w:t>
      </w:r>
      <w:r w:rsidR="00C47BF7">
        <w:rPr>
          <w:rFonts w:ascii="Times New Roman" w:hAnsi="Times New Roman" w:cs="Times New Roman"/>
        </w:rPr>
        <w:t xml:space="preserve">-р от </w:t>
      </w:r>
      <w:r w:rsidR="00F72BCD">
        <w:rPr>
          <w:rFonts w:ascii="Times New Roman" w:hAnsi="Times New Roman" w:cs="Times New Roman"/>
        </w:rPr>
        <w:t>29.12.2021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 xml:space="preserve">основании распоряжения № </w:t>
      </w:r>
      <w:r w:rsidR="00C47B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-р от </w:t>
      </w:r>
      <w:r w:rsidR="00F72BCD">
        <w:rPr>
          <w:rFonts w:ascii="Times New Roman" w:hAnsi="Times New Roman" w:cs="Times New Roman"/>
        </w:rPr>
        <w:t>01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C47BF7">
        <w:rPr>
          <w:rFonts w:ascii="Times New Roman" w:hAnsi="Times New Roman" w:cs="Times New Roman"/>
        </w:rPr>
        <w:t>2</w:t>
      </w:r>
      <w:r w:rsidR="00F72BC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 w:rsidR="00F72BC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 xml:space="preserve"> от </w:t>
      </w:r>
      <w:r w:rsidR="00F72BCD">
        <w:rPr>
          <w:rFonts w:ascii="Times New Roman" w:hAnsi="Times New Roman" w:cs="Times New Roman"/>
        </w:rPr>
        <w:t>01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C47BF7">
        <w:rPr>
          <w:rFonts w:ascii="Times New Roman" w:hAnsi="Times New Roman" w:cs="Times New Roman"/>
        </w:rPr>
        <w:t>2</w:t>
      </w:r>
      <w:r w:rsidR="00F72BC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C47BF7">
        <w:rPr>
          <w:rFonts w:ascii="Times New Roman" w:hAnsi="Times New Roman" w:cs="Times New Roman"/>
          <w:b/>
        </w:rPr>
        <w:t>МО «</w:t>
      </w:r>
      <w:proofErr w:type="spellStart"/>
      <w:r w:rsidR="00C47BF7">
        <w:rPr>
          <w:rFonts w:ascii="Times New Roman" w:hAnsi="Times New Roman" w:cs="Times New Roman"/>
          <w:b/>
        </w:rPr>
        <w:t>Элекмонарское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="00F72BCD">
        <w:rPr>
          <w:rFonts w:ascii="Times New Roman" w:hAnsi="Times New Roman" w:cs="Times New Roman"/>
        </w:rPr>
        <w:t>» за 2021</w:t>
      </w:r>
      <w:r w:rsidRPr="003201EC">
        <w:rPr>
          <w:rFonts w:ascii="Times New Roman" w:hAnsi="Times New Roman" w:cs="Times New Roman"/>
        </w:rPr>
        <w:t xml:space="preserve"> год.</w:t>
      </w: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F72BCD" w:rsidRPr="00F72BCD" w:rsidRDefault="00F72BCD" w:rsidP="00F72BCD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2BCD">
        <w:rPr>
          <w:rFonts w:ascii="Times New Roman" w:eastAsia="Calibri" w:hAnsi="Times New Roman" w:cs="Times New Roman"/>
          <w:sz w:val="24"/>
          <w:szCs w:val="24"/>
        </w:rPr>
        <w:t>1. Отчет об исполнении бюджета МО «</w:t>
      </w:r>
      <w:proofErr w:type="spellStart"/>
      <w:r w:rsidRPr="00F72BCD">
        <w:rPr>
          <w:rFonts w:ascii="Times New Roman" w:eastAsia="Calibri" w:hAnsi="Times New Roman" w:cs="Times New Roman"/>
          <w:sz w:val="24"/>
          <w:szCs w:val="24"/>
        </w:rPr>
        <w:t>Элекмонарское</w:t>
      </w:r>
      <w:proofErr w:type="spellEnd"/>
      <w:r w:rsidRPr="00F72BC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2021 год представлен в установленный срок </w:t>
      </w:r>
      <w:r w:rsidRPr="00F72BCD">
        <w:rPr>
          <w:rFonts w:ascii="Times New Roman" w:eastAsia="Calibri" w:hAnsi="Times New Roman" w:cs="Times New Roman"/>
          <w:i/>
          <w:sz w:val="24"/>
          <w:szCs w:val="24"/>
        </w:rPr>
        <w:t>в соответствии с пунктом 3 статьи 264.4 Бюджетного кодекса РФ.</w:t>
      </w:r>
    </w:p>
    <w:p w:rsidR="00F72BCD" w:rsidRPr="00F72BCD" w:rsidRDefault="00F72BCD" w:rsidP="00F72BC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BCD">
        <w:rPr>
          <w:rFonts w:ascii="Times New Roman" w:eastAsia="Calibri" w:hAnsi="Times New Roman" w:cs="Times New Roman"/>
          <w:sz w:val="24"/>
          <w:szCs w:val="24"/>
        </w:rPr>
        <w:t>2.   Показатели  запланированные по доходам бюджета в объеме 17 029,3 тыс. руб., выполнены в размере  17 721,1 тыс. руб. (104,1%), по расходам бюджета – в объеме 17 325,9 тыс. руб., выполнены в размере 17 325,9  тыс. руб. (100,0%).</w:t>
      </w:r>
    </w:p>
    <w:p w:rsidR="00F72BCD" w:rsidRPr="00F72BCD" w:rsidRDefault="00F72BCD" w:rsidP="00F72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BCD">
        <w:rPr>
          <w:rFonts w:ascii="Times New Roman" w:eastAsia="Calibri" w:hAnsi="Times New Roman" w:cs="Times New Roman"/>
          <w:sz w:val="24"/>
          <w:szCs w:val="24"/>
        </w:rPr>
        <w:t xml:space="preserve">3. Бюджет исполнен с превышением расходов над доходами (дефицит  бюджета) в сумме 395,2  тыс. рублей </w:t>
      </w:r>
      <w:r w:rsidRPr="00F72BCD">
        <w:rPr>
          <w:rFonts w:ascii="Times New Roman" w:eastAsia="Times New Roman" w:hAnsi="Times New Roman" w:cs="Times New Roman"/>
          <w:sz w:val="24"/>
          <w:szCs w:val="24"/>
        </w:rPr>
        <w:t xml:space="preserve"> или  8,5 % от доходов бюджета поселения без учета объема безвозмездных поступлений. </w:t>
      </w:r>
      <w:r w:rsidRPr="00F72BCD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Превышение предельных значений установленных статьей 92.1 БК РФ (5%), допущено с учетом планирования в составе источников финансирования дефицита муниципального бюджета, снижения остатков средств на счетах по учету средств бюджета (691,8 тыс. рублей). </w:t>
      </w:r>
    </w:p>
    <w:p w:rsidR="00F72BCD" w:rsidRPr="00F72BCD" w:rsidRDefault="00F72BCD" w:rsidP="00F72BCD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2BC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72BCD">
        <w:rPr>
          <w:rFonts w:ascii="Times New Roman" w:eastAsia="Times New Roman" w:hAnsi="Times New Roman" w:cs="Times New Roman"/>
          <w:sz w:val="24"/>
          <w:szCs w:val="24"/>
        </w:rPr>
        <w:t>Исполнение по муниципальной программе «Комплексное  развитие территории «</w:t>
      </w:r>
      <w:proofErr w:type="spellStart"/>
      <w:r w:rsidRPr="00F72BCD">
        <w:rPr>
          <w:rFonts w:ascii="Times New Roman" w:eastAsia="Times New Roman" w:hAnsi="Times New Roman" w:cs="Times New Roman"/>
          <w:sz w:val="24"/>
          <w:szCs w:val="24"/>
        </w:rPr>
        <w:t>Элекмонарское</w:t>
      </w:r>
      <w:proofErr w:type="spellEnd"/>
      <w:r w:rsidRPr="00F72BC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составило 17 325,9 тыс. рублей, или 100,0 %  бюджетных ассигнований.</w:t>
      </w:r>
    </w:p>
    <w:p w:rsidR="00F72BCD" w:rsidRPr="00F72BCD" w:rsidRDefault="00F72BCD" w:rsidP="00F72BC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E58" w:rsidRPr="00F72BCD" w:rsidRDefault="00F72BCD" w:rsidP="00F72BCD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2BCD"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r w:rsidRPr="00F72BCD">
        <w:rPr>
          <w:rFonts w:ascii="Times New Roman" w:eastAsia="Calibri" w:hAnsi="Times New Roman" w:cs="Times New Roman"/>
          <w:bCs/>
          <w:iCs/>
          <w:sz w:val="24"/>
          <w:szCs w:val="24"/>
        </w:rPr>
        <w:t>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F72BCD">
        <w:rPr>
          <w:rFonts w:ascii="Times New Roman" w:eastAsia="Calibri" w:hAnsi="Times New Roman" w:cs="Times New Roman"/>
          <w:bCs/>
          <w:iCs/>
          <w:sz w:val="24"/>
          <w:szCs w:val="24"/>
        </w:rPr>
        <w:t>Элекмонарское</w:t>
      </w:r>
      <w:proofErr w:type="spellEnd"/>
      <w:r w:rsidRPr="00F72B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сельское поселение» за 2021  год  предшествовала внешняя проверка годовой бюджетной отчетности, по результатам которой </w:t>
      </w:r>
      <w:r w:rsidRPr="00F72BC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составлен акт  и вынесено  представление    Контрольно-счетной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комиссии МО «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Чемальский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район».</w:t>
      </w:r>
    </w:p>
    <w:p w:rsidR="00673037" w:rsidRPr="00565302" w:rsidRDefault="00673037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1142" w:rsidRPr="003201EC" w:rsidRDefault="00A31142" w:rsidP="00A31142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F72BCD">
        <w:rPr>
          <w:rFonts w:ascii="Times New Roman" w:hAnsi="Times New Roman" w:cs="Times New Roman"/>
          <w:b/>
        </w:rPr>
        <w:t>я от 11</w:t>
      </w:r>
      <w:r w:rsidRPr="003201EC">
        <w:rPr>
          <w:rFonts w:ascii="Times New Roman" w:hAnsi="Times New Roman" w:cs="Times New Roman"/>
          <w:b/>
        </w:rPr>
        <w:t>.0</w:t>
      </w:r>
      <w:r w:rsidR="00F750EC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F72BCD">
        <w:rPr>
          <w:rFonts w:ascii="Times New Roman" w:hAnsi="Times New Roman" w:cs="Times New Roman"/>
          <w:b/>
        </w:rPr>
        <w:t>22</w:t>
      </w:r>
    </w:p>
    <w:p w:rsidR="00A31142" w:rsidRPr="003201EC" w:rsidRDefault="00A31142" w:rsidP="00A31142">
      <w:pPr>
        <w:pStyle w:val="a4"/>
        <w:jc w:val="both"/>
        <w:rPr>
          <w:rFonts w:ascii="Times New Roman" w:hAnsi="Times New Roman" w:cs="Times New Roman"/>
          <w:b/>
        </w:rPr>
      </w:pPr>
    </w:p>
    <w:p w:rsidR="00A31142" w:rsidRPr="003201EC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E1098C">
        <w:rPr>
          <w:rFonts w:ascii="Times New Roman" w:hAnsi="Times New Roman" w:cs="Times New Roman"/>
        </w:rPr>
        <w:t>с</w:t>
      </w:r>
      <w:r w:rsidR="00F72BCD">
        <w:rPr>
          <w:rFonts w:ascii="Times New Roman" w:hAnsi="Times New Roman" w:cs="Times New Roman"/>
        </w:rPr>
        <w:t>ии МО «</w:t>
      </w:r>
      <w:proofErr w:type="spellStart"/>
      <w:r w:rsidR="00F72BCD">
        <w:rPr>
          <w:rFonts w:ascii="Times New Roman" w:hAnsi="Times New Roman" w:cs="Times New Roman"/>
        </w:rPr>
        <w:t>Чемальский</w:t>
      </w:r>
      <w:proofErr w:type="spellEnd"/>
      <w:r w:rsidR="00F72BCD">
        <w:rPr>
          <w:rFonts w:ascii="Times New Roman" w:hAnsi="Times New Roman" w:cs="Times New Roman"/>
        </w:rPr>
        <w:t xml:space="preserve"> район» на 2022</w:t>
      </w:r>
      <w:r w:rsidRPr="003201EC">
        <w:rPr>
          <w:rFonts w:ascii="Times New Roman" w:hAnsi="Times New Roman" w:cs="Times New Roman"/>
        </w:rPr>
        <w:t xml:space="preserve"> год, </w:t>
      </w:r>
      <w:r w:rsidR="00F72BCD">
        <w:rPr>
          <w:rFonts w:ascii="Times New Roman" w:hAnsi="Times New Roman" w:cs="Times New Roman"/>
        </w:rPr>
        <w:t>утвержденного распоряжением № 29-р от 29</w:t>
      </w:r>
      <w:r w:rsidRPr="003201EC">
        <w:rPr>
          <w:rFonts w:ascii="Times New Roman" w:hAnsi="Times New Roman" w:cs="Times New Roman"/>
        </w:rPr>
        <w:t>.12.20</w:t>
      </w:r>
      <w:r w:rsidR="00F72BCD">
        <w:rPr>
          <w:rFonts w:ascii="Times New Roman" w:hAnsi="Times New Roman" w:cs="Times New Roman"/>
        </w:rPr>
        <w:t>21</w:t>
      </w:r>
      <w:r w:rsidRPr="003201EC">
        <w:rPr>
          <w:rFonts w:ascii="Times New Roman" w:hAnsi="Times New Roman" w:cs="Times New Roman"/>
        </w:rPr>
        <w:t xml:space="preserve">, на </w:t>
      </w:r>
      <w:r w:rsidR="00E1098C">
        <w:rPr>
          <w:rFonts w:ascii="Times New Roman" w:hAnsi="Times New Roman" w:cs="Times New Roman"/>
        </w:rPr>
        <w:t xml:space="preserve">основании </w:t>
      </w:r>
      <w:r w:rsidR="00F72BCD">
        <w:rPr>
          <w:rFonts w:ascii="Times New Roman" w:hAnsi="Times New Roman" w:cs="Times New Roman"/>
        </w:rPr>
        <w:t>распоряжения № 10</w:t>
      </w:r>
      <w:r w:rsidR="00E1098C">
        <w:rPr>
          <w:rFonts w:ascii="Times New Roman" w:hAnsi="Times New Roman" w:cs="Times New Roman"/>
        </w:rPr>
        <w:t xml:space="preserve">-р от </w:t>
      </w:r>
      <w:r w:rsidR="00F72BCD">
        <w:rPr>
          <w:rFonts w:ascii="Times New Roman" w:hAnsi="Times New Roman" w:cs="Times New Roman"/>
        </w:rPr>
        <w:t>09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</w:t>
      </w:r>
      <w:r w:rsidR="00F72BC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 w:rsidR="00F72BCD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 от </w:t>
      </w:r>
      <w:r w:rsidR="00F72BCD">
        <w:rPr>
          <w:rFonts w:ascii="Times New Roman" w:hAnsi="Times New Roman" w:cs="Times New Roman"/>
        </w:rPr>
        <w:t>09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</w:t>
      </w:r>
      <w:r w:rsidR="00F72BC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F750EC">
        <w:rPr>
          <w:rFonts w:ascii="Times New Roman" w:hAnsi="Times New Roman" w:cs="Times New Roman"/>
          <w:b/>
        </w:rPr>
        <w:t>МО «</w:t>
      </w:r>
      <w:proofErr w:type="spellStart"/>
      <w:r w:rsidR="00F750EC">
        <w:rPr>
          <w:rFonts w:ascii="Times New Roman" w:hAnsi="Times New Roman" w:cs="Times New Roman"/>
          <w:b/>
        </w:rPr>
        <w:t>Аносинское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="00F72BCD">
        <w:rPr>
          <w:rFonts w:ascii="Times New Roman" w:hAnsi="Times New Roman" w:cs="Times New Roman"/>
        </w:rPr>
        <w:t>» за 2021</w:t>
      </w:r>
      <w:r w:rsidRPr="003201EC">
        <w:rPr>
          <w:rFonts w:ascii="Times New Roman" w:hAnsi="Times New Roman" w:cs="Times New Roman"/>
        </w:rPr>
        <w:t xml:space="preserve"> год.</w:t>
      </w:r>
    </w:p>
    <w:p w:rsidR="00A31142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2D5EF7" w:rsidRPr="002D5EF7" w:rsidRDefault="002D5EF7" w:rsidP="002D5EF7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5EF7">
        <w:rPr>
          <w:rFonts w:ascii="Times New Roman" w:eastAsia="Calibri" w:hAnsi="Times New Roman" w:cs="Times New Roman"/>
          <w:sz w:val="24"/>
          <w:szCs w:val="24"/>
        </w:rPr>
        <w:t>1. Отчет об исполнении бюджета МО «</w:t>
      </w:r>
      <w:proofErr w:type="spellStart"/>
      <w:r w:rsidRPr="002D5EF7">
        <w:rPr>
          <w:rFonts w:ascii="Times New Roman" w:eastAsia="Calibri" w:hAnsi="Times New Roman" w:cs="Times New Roman"/>
          <w:sz w:val="24"/>
          <w:szCs w:val="24"/>
        </w:rPr>
        <w:t>Аносинское</w:t>
      </w:r>
      <w:proofErr w:type="spellEnd"/>
      <w:r w:rsidRPr="002D5EF7">
        <w:rPr>
          <w:rFonts w:ascii="Times New Roman" w:eastAsia="Calibri" w:hAnsi="Times New Roman" w:cs="Times New Roman"/>
          <w:sz w:val="24"/>
          <w:szCs w:val="24"/>
        </w:rPr>
        <w:t xml:space="preserve">  сельское поселение» за 2021 год представлен в установленный срок </w:t>
      </w:r>
      <w:r w:rsidRPr="002D5EF7">
        <w:rPr>
          <w:rFonts w:ascii="Times New Roman" w:eastAsia="Calibri" w:hAnsi="Times New Roman" w:cs="Times New Roman"/>
          <w:i/>
          <w:sz w:val="24"/>
          <w:szCs w:val="24"/>
        </w:rPr>
        <w:t>в соответствии с пунктом 3 статьи 264.4 Бюджетного кодекса РФ.</w:t>
      </w:r>
    </w:p>
    <w:p w:rsidR="002D5EF7" w:rsidRPr="002D5EF7" w:rsidRDefault="002D5EF7" w:rsidP="002D5EF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EF7">
        <w:rPr>
          <w:rFonts w:ascii="Times New Roman" w:eastAsia="Calibri" w:hAnsi="Times New Roman" w:cs="Times New Roman"/>
          <w:sz w:val="24"/>
          <w:szCs w:val="24"/>
        </w:rPr>
        <w:t>2.   Показатели  запланированные по доходам бюджета в объеме 11 481,4 тыс. руб., выполнены в размере 11 495,8  тыс. руб. (100,1%), по расходам бюджета – в объеме 12 218,1 тыс. руб., выполнены в размере 7 211,3 тыс. руб. (59,0%).</w:t>
      </w:r>
    </w:p>
    <w:p w:rsidR="002D5EF7" w:rsidRPr="002D5EF7" w:rsidRDefault="002D5EF7" w:rsidP="002D5EF7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EF7">
        <w:rPr>
          <w:rFonts w:ascii="Times New Roman" w:eastAsia="Calibri" w:hAnsi="Times New Roman" w:cs="Times New Roman"/>
          <w:sz w:val="24"/>
          <w:szCs w:val="24"/>
        </w:rPr>
        <w:t>3. Бюджет исполнен с превышением доходов  над расходами (</w:t>
      </w:r>
      <w:proofErr w:type="spellStart"/>
      <w:r w:rsidRPr="002D5EF7">
        <w:rPr>
          <w:rFonts w:ascii="Times New Roman" w:eastAsia="Calibri" w:hAnsi="Times New Roman" w:cs="Times New Roman"/>
          <w:sz w:val="24"/>
          <w:szCs w:val="24"/>
        </w:rPr>
        <w:t>профицит</w:t>
      </w:r>
      <w:proofErr w:type="spellEnd"/>
      <w:r w:rsidRPr="002D5EF7">
        <w:rPr>
          <w:rFonts w:ascii="Times New Roman" w:eastAsia="Calibri" w:hAnsi="Times New Roman" w:cs="Times New Roman"/>
          <w:sz w:val="24"/>
          <w:szCs w:val="24"/>
        </w:rPr>
        <w:t xml:space="preserve">  бюджета) в размере 4 284,5  тыс. рублей.</w:t>
      </w:r>
    </w:p>
    <w:p w:rsidR="004D0A91" w:rsidRPr="004042D9" w:rsidRDefault="002D5EF7" w:rsidP="002C0F53">
      <w:pPr>
        <w:pStyle w:val="a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D5EF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D5EF7">
        <w:rPr>
          <w:rFonts w:ascii="Times New Roman" w:eastAsia="Calibri" w:hAnsi="Times New Roman" w:cs="Times New Roman"/>
          <w:bCs/>
          <w:iCs/>
          <w:sz w:val="24"/>
          <w:szCs w:val="24"/>
        </w:rPr>
        <w:t>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2D5EF7">
        <w:rPr>
          <w:rFonts w:ascii="Times New Roman" w:eastAsia="Calibri" w:hAnsi="Times New Roman" w:cs="Times New Roman"/>
          <w:bCs/>
          <w:iCs/>
          <w:sz w:val="24"/>
          <w:szCs w:val="24"/>
        </w:rPr>
        <w:t>Аносинское</w:t>
      </w:r>
      <w:proofErr w:type="spellEnd"/>
      <w:r w:rsidRPr="002D5EF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сельское поселение» за 2021  год  предшествовала внешняя проверка годовой бюджетной отчетности, </w:t>
      </w:r>
      <w:r w:rsidRPr="002D5EF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по результатам которой составлен акт  и вынесено  представление.   </w:t>
      </w:r>
    </w:p>
    <w:p w:rsidR="004042D9" w:rsidRDefault="004042D9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F7" w:rsidRDefault="002D5EF7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24.03</w:t>
      </w:r>
      <w:r w:rsidRPr="0060471B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4042D9" w:rsidRPr="007B7FBF" w:rsidRDefault="004042D9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F7" w:rsidRPr="003201EC" w:rsidRDefault="002D5EF7" w:rsidP="002D5EF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201EC">
        <w:rPr>
          <w:rFonts w:ascii="Times New Roman" w:hAnsi="Times New Roman" w:cs="Times New Roman"/>
        </w:rPr>
        <w:t>В соответствии  со статьей 264.4 Бюджетного кодекса РФ,  Планом работы Контрольно-счетной комис</w:t>
      </w:r>
      <w:r>
        <w:rPr>
          <w:rFonts w:ascii="Times New Roman" w:hAnsi="Times New Roman" w:cs="Times New Roman"/>
        </w:rPr>
        <w:t>сии МО «</w:t>
      </w:r>
      <w:proofErr w:type="spellStart"/>
      <w:r>
        <w:rPr>
          <w:rFonts w:ascii="Times New Roman" w:hAnsi="Times New Roman" w:cs="Times New Roman"/>
        </w:rPr>
        <w:t>Чемальский</w:t>
      </w:r>
      <w:proofErr w:type="spellEnd"/>
      <w:r>
        <w:rPr>
          <w:rFonts w:ascii="Times New Roman" w:hAnsi="Times New Roman" w:cs="Times New Roman"/>
        </w:rPr>
        <w:t xml:space="preserve"> район» на 2022</w:t>
      </w:r>
      <w:r w:rsidRPr="003201EC">
        <w:rPr>
          <w:rFonts w:ascii="Times New Roman" w:hAnsi="Times New Roman" w:cs="Times New Roman"/>
        </w:rPr>
        <w:t xml:space="preserve"> год, </w:t>
      </w:r>
      <w:r>
        <w:rPr>
          <w:rFonts w:ascii="Times New Roman" w:hAnsi="Times New Roman" w:cs="Times New Roman"/>
        </w:rPr>
        <w:t>утвержденного распоряжением № 29-р от 29</w:t>
      </w:r>
      <w:r w:rsidRPr="003201EC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21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основании распоряжения № 11-р от 14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14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>
        <w:rPr>
          <w:rFonts w:ascii="Times New Roman" w:hAnsi="Times New Roman" w:cs="Times New Roman"/>
          <w:b/>
        </w:rPr>
        <w:t>МО «</w:t>
      </w:r>
      <w:proofErr w:type="spellStart"/>
      <w:r>
        <w:rPr>
          <w:rFonts w:ascii="Times New Roman" w:hAnsi="Times New Roman" w:cs="Times New Roman"/>
          <w:b/>
        </w:rPr>
        <w:t>Чепошское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>
        <w:rPr>
          <w:rFonts w:ascii="Times New Roman" w:hAnsi="Times New Roman" w:cs="Times New Roman"/>
        </w:rPr>
        <w:t>» за 2021</w:t>
      </w:r>
      <w:r w:rsidRPr="003201EC">
        <w:rPr>
          <w:rFonts w:ascii="Times New Roman" w:hAnsi="Times New Roman" w:cs="Times New Roman"/>
        </w:rPr>
        <w:t xml:space="preserve"> год.</w:t>
      </w:r>
    </w:p>
    <w:p w:rsidR="002D5EF7" w:rsidRDefault="002D5EF7" w:rsidP="002D5EF7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2D5EF7" w:rsidRPr="002D5EF7" w:rsidRDefault="002D5EF7" w:rsidP="002D5EF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EF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</w:t>
      </w:r>
      <w:r w:rsidRPr="002D5EF7">
        <w:rPr>
          <w:rFonts w:ascii="Times New Roman" w:eastAsia="Calibri" w:hAnsi="Times New Roman" w:cs="Times New Roman"/>
          <w:sz w:val="24"/>
          <w:szCs w:val="24"/>
        </w:rPr>
        <w:t>1. Отчет об исполнении бюджета МО «</w:t>
      </w:r>
      <w:proofErr w:type="spellStart"/>
      <w:r w:rsidRPr="002D5EF7">
        <w:rPr>
          <w:rFonts w:ascii="Times New Roman" w:eastAsia="Calibri" w:hAnsi="Times New Roman" w:cs="Times New Roman"/>
          <w:sz w:val="24"/>
          <w:szCs w:val="24"/>
        </w:rPr>
        <w:t>Чепошское</w:t>
      </w:r>
      <w:proofErr w:type="spellEnd"/>
      <w:r w:rsidRPr="002D5EF7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2021 год представлен в установленный срок, в соответствии с пунктом 3 статьи 264.4 Бюджетного кодекса РФ.</w:t>
      </w:r>
    </w:p>
    <w:p w:rsidR="002D5EF7" w:rsidRPr="002D5EF7" w:rsidRDefault="002D5EF7" w:rsidP="002D5EF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EF7">
        <w:rPr>
          <w:rFonts w:ascii="Times New Roman" w:eastAsia="Calibri" w:hAnsi="Times New Roman" w:cs="Times New Roman"/>
          <w:sz w:val="24"/>
          <w:szCs w:val="24"/>
        </w:rPr>
        <w:t>2.   Показатели  запланированные по доходам бюджета в объеме 22 656,6 тыс. руб., выполнены в размере  23 556,0  тыс. руб. (104,0%), по расходам бюджета – в объеме 22 881,0 тыс. руб., выполнены в размере 15 654,1 тыс. руб. (68,4%).</w:t>
      </w:r>
    </w:p>
    <w:p w:rsidR="002D5EF7" w:rsidRPr="002D5EF7" w:rsidRDefault="002D5EF7" w:rsidP="002D5EF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EF7">
        <w:rPr>
          <w:rFonts w:ascii="Times New Roman" w:eastAsia="Calibri" w:hAnsi="Times New Roman" w:cs="Times New Roman"/>
          <w:sz w:val="24"/>
          <w:szCs w:val="24"/>
        </w:rPr>
        <w:t>3.  Бюджет исполнен с превышением доходов  над расходами (</w:t>
      </w:r>
      <w:proofErr w:type="spellStart"/>
      <w:r w:rsidRPr="002D5EF7">
        <w:rPr>
          <w:rFonts w:ascii="Times New Roman" w:eastAsia="Calibri" w:hAnsi="Times New Roman" w:cs="Times New Roman"/>
          <w:sz w:val="24"/>
          <w:szCs w:val="24"/>
        </w:rPr>
        <w:t>профицит</w:t>
      </w:r>
      <w:proofErr w:type="spellEnd"/>
      <w:r w:rsidRPr="002D5EF7">
        <w:rPr>
          <w:rFonts w:ascii="Times New Roman" w:eastAsia="Calibri" w:hAnsi="Times New Roman" w:cs="Times New Roman"/>
          <w:sz w:val="24"/>
          <w:szCs w:val="24"/>
        </w:rPr>
        <w:t xml:space="preserve">  бюджета) в размере 7 901,9 тыс. рублей.</w:t>
      </w:r>
    </w:p>
    <w:p w:rsidR="00D34842" w:rsidRPr="002D5EF7" w:rsidRDefault="002D5EF7" w:rsidP="00D34842">
      <w:pPr>
        <w:pStyle w:val="a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D5EF7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r w:rsidRPr="002D5EF7">
        <w:rPr>
          <w:rFonts w:ascii="Times New Roman" w:eastAsia="Calibri" w:hAnsi="Times New Roman" w:cs="Times New Roman"/>
          <w:bCs/>
          <w:iCs/>
          <w:sz w:val="24"/>
          <w:szCs w:val="24"/>
        </w:rPr>
        <w:t>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2D5EF7">
        <w:rPr>
          <w:rFonts w:ascii="Times New Roman" w:eastAsia="Calibri" w:hAnsi="Times New Roman" w:cs="Times New Roman"/>
          <w:bCs/>
          <w:iCs/>
          <w:sz w:val="24"/>
          <w:szCs w:val="24"/>
        </w:rPr>
        <w:t>Чепошское</w:t>
      </w:r>
      <w:proofErr w:type="spellEnd"/>
      <w:r w:rsidRPr="002D5EF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сельское поселение» за 2021  год  предшествовала внешняя проверка годовой бюджетной отчетности, </w:t>
      </w:r>
      <w:r w:rsidRPr="002D5EF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 результатам которой составлен акт  и вынесено  представление    Контрольно-счетной комиссии МО «</w:t>
      </w:r>
      <w:proofErr w:type="spellStart"/>
      <w:r w:rsidRPr="002D5EF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Чемальский</w:t>
      </w:r>
      <w:proofErr w:type="spellEnd"/>
      <w:r w:rsidRPr="002D5EF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район». </w:t>
      </w:r>
    </w:p>
    <w:p w:rsidR="00B945AB" w:rsidRPr="003201EC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Чемальск</w:t>
      </w:r>
      <w:r w:rsidR="00140B42">
        <w:rPr>
          <w:rFonts w:ascii="Times New Roman" w:hAnsi="Times New Roman" w:cs="Times New Roman"/>
        </w:rPr>
        <w:t>ий</w:t>
      </w:r>
      <w:proofErr w:type="spellEnd"/>
      <w:r w:rsidR="00140B42"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                                                                    Долгова М.Н.</w:t>
      </w:r>
    </w:p>
    <w:sectPr w:rsidR="00087384" w:rsidRPr="003201EC" w:rsidSect="0055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96A"/>
    <w:multiLevelType w:val="hybridMultilevel"/>
    <w:tmpl w:val="3EF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6CEA"/>
    <w:multiLevelType w:val="hybridMultilevel"/>
    <w:tmpl w:val="769C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46F3F"/>
    <w:multiLevelType w:val="hybridMultilevel"/>
    <w:tmpl w:val="757C9DBA"/>
    <w:lvl w:ilvl="0" w:tplc="57861E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55942"/>
    <w:multiLevelType w:val="hybridMultilevel"/>
    <w:tmpl w:val="470046D2"/>
    <w:lvl w:ilvl="0" w:tplc="48F8A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2657"/>
    <w:multiLevelType w:val="hybridMultilevel"/>
    <w:tmpl w:val="91FC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42EC0"/>
    <w:multiLevelType w:val="hybridMultilevel"/>
    <w:tmpl w:val="87042BB0"/>
    <w:lvl w:ilvl="0" w:tplc="4830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40B0D"/>
    <w:multiLevelType w:val="hybridMultilevel"/>
    <w:tmpl w:val="12803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16"/>
  </w:num>
  <w:num w:numId="5">
    <w:abstractNumId w:val="3"/>
  </w:num>
  <w:num w:numId="6">
    <w:abstractNumId w:val="14"/>
  </w:num>
  <w:num w:numId="7">
    <w:abstractNumId w:val="18"/>
  </w:num>
  <w:num w:numId="8">
    <w:abstractNumId w:val="2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  <w:num w:numId="16">
    <w:abstractNumId w:val="21"/>
  </w:num>
  <w:num w:numId="17">
    <w:abstractNumId w:val="5"/>
  </w:num>
  <w:num w:numId="18">
    <w:abstractNumId w:val="8"/>
  </w:num>
  <w:num w:numId="19">
    <w:abstractNumId w:val="9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395"/>
    <w:rsid w:val="00036206"/>
    <w:rsid w:val="00043C16"/>
    <w:rsid w:val="000865FF"/>
    <w:rsid w:val="00087384"/>
    <w:rsid w:val="000A1F72"/>
    <w:rsid w:val="000B50DC"/>
    <w:rsid w:val="000D2140"/>
    <w:rsid w:val="000F729F"/>
    <w:rsid w:val="00140B42"/>
    <w:rsid w:val="00160F79"/>
    <w:rsid w:val="001B1390"/>
    <w:rsid w:val="001E75FD"/>
    <w:rsid w:val="001F5E58"/>
    <w:rsid w:val="00200807"/>
    <w:rsid w:val="00207386"/>
    <w:rsid w:val="002079AB"/>
    <w:rsid w:val="00207BFD"/>
    <w:rsid w:val="00226D5D"/>
    <w:rsid w:val="00291411"/>
    <w:rsid w:val="002963E0"/>
    <w:rsid w:val="002A2CA4"/>
    <w:rsid w:val="002B2FFF"/>
    <w:rsid w:val="002C0F53"/>
    <w:rsid w:val="002D5EF7"/>
    <w:rsid w:val="00304B6F"/>
    <w:rsid w:val="003201EC"/>
    <w:rsid w:val="003407DF"/>
    <w:rsid w:val="00347AFE"/>
    <w:rsid w:val="00350BC9"/>
    <w:rsid w:val="003524E3"/>
    <w:rsid w:val="003626E0"/>
    <w:rsid w:val="003A307B"/>
    <w:rsid w:val="003B3101"/>
    <w:rsid w:val="003B75C7"/>
    <w:rsid w:val="003D050B"/>
    <w:rsid w:val="004042D9"/>
    <w:rsid w:val="004367A2"/>
    <w:rsid w:val="00461B5F"/>
    <w:rsid w:val="0047022C"/>
    <w:rsid w:val="00472476"/>
    <w:rsid w:val="00481DE1"/>
    <w:rsid w:val="00486B7D"/>
    <w:rsid w:val="004D0A91"/>
    <w:rsid w:val="004E32F7"/>
    <w:rsid w:val="004F07AF"/>
    <w:rsid w:val="00505B8A"/>
    <w:rsid w:val="00524CD4"/>
    <w:rsid w:val="005551E9"/>
    <w:rsid w:val="00565302"/>
    <w:rsid w:val="00575617"/>
    <w:rsid w:val="00595C7F"/>
    <w:rsid w:val="005B1AAF"/>
    <w:rsid w:val="005E721D"/>
    <w:rsid w:val="005F2DFA"/>
    <w:rsid w:val="00615CC6"/>
    <w:rsid w:val="00622CBF"/>
    <w:rsid w:val="00670004"/>
    <w:rsid w:val="00673037"/>
    <w:rsid w:val="00693911"/>
    <w:rsid w:val="006B647A"/>
    <w:rsid w:val="00706656"/>
    <w:rsid w:val="00731241"/>
    <w:rsid w:val="007525B2"/>
    <w:rsid w:val="00765F89"/>
    <w:rsid w:val="00770506"/>
    <w:rsid w:val="00770593"/>
    <w:rsid w:val="00786F94"/>
    <w:rsid w:val="007B0BAC"/>
    <w:rsid w:val="007B1DA1"/>
    <w:rsid w:val="007E6877"/>
    <w:rsid w:val="007F3897"/>
    <w:rsid w:val="007F3F02"/>
    <w:rsid w:val="00804A4C"/>
    <w:rsid w:val="0080774E"/>
    <w:rsid w:val="008337BF"/>
    <w:rsid w:val="00847E1E"/>
    <w:rsid w:val="00871329"/>
    <w:rsid w:val="00886448"/>
    <w:rsid w:val="008930F1"/>
    <w:rsid w:val="008C5682"/>
    <w:rsid w:val="0090495F"/>
    <w:rsid w:val="00917712"/>
    <w:rsid w:val="00952009"/>
    <w:rsid w:val="00952C8D"/>
    <w:rsid w:val="00954E0B"/>
    <w:rsid w:val="009601D5"/>
    <w:rsid w:val="0096105F"/>
    <w:rsid w:val="00961AB3"/>
    <w:rsid w:val="00990B0B"/>
    <w:rsid w:val="009A4B1C"/>
    <w:rsid w:val="009B2395"/>
    <w:rsid w:val="009B4960"/>
    <w:rsid w:val="00A0213D"/>
    <w:rsid w:val="00A2584B"/>
    <w:rsid w:val="00A31142"/>
    <w:rsid w:val="00A3298C"/>
    <w:rsid w:val="00A41F69"/>
    <w:rsid w:val="00A65677"/>
    <w:rsid w:val="00A758A7"/>
    <w:rsid w:val="00AA740F"/>
    <w:rsid w:val="00AB0BE5"/>
    <w:rsid w:val="00AE1347"/>
    <w:rsid w:val="00B260EA"/>
    <w:rsid w:val="00B60F81"/>
    <w:rsid w:val="00B7351D"/>
    <w:rsid w:val="00B86972"/>
    <w:rsid w:val="00B945AB"/>
    <w:rsid w:val="00BB020B"/>
    <w:rsid w:val="00BB311F"/>
    <w:rsid w:val="00BF01E6"/>
    <w:rsid w:val="00BF0C11"/>
    <w:rsid w:val="00BF1193"/>
    <w:rsid w:val="00C132E3"/>
    <w:rsid w:val="00C3298F"/>
    <w:rsid w:val="00C34DEE"/>
    <w:rsid w:val="00C47BF7"/>
    <w:rsid w:val="00C55F94"/>
    <w:rsid w:val="00C61BED"/>
    <w:rsid w:val="00CB3C54"/>
    <w:rsid w:val="00CC7A03"/>
    <w:rsid w:val="00CE7C7D"/>
    <w:rsid w:val="00D03968"/>
    <w:rsid w:val="00D168D4"/>
    <w:rsid w:val="00D24E6F"/>
    <w:rsid w:val="00D2711D"/>
    <w:rsid w:val="00D309BE"/>
    <w:rsid w:val="00D34842"/>
    <w:rsid w:val="00D36517"/>
    <w:rsid w:val="00D4361C"/>
    <w:rsid w:val="00D67C77"/>
    <w:rsid w:val="00D70FFA"/>
    <w:rsid w:val="00D74679"/>
    <w:rsid w:val="00D82249"/>
    <w:rsid w:val="00D822C6"/>
    <w:rsid w:val="00D85B5F"/>
    <w:rsid w:val="00D94BAA"/>
    <w:rsid w:val="00D967B3"/>
    <w:rsid w:val="00DC5C71"/>
    <w:rsid w:val="00DD6B4D"/>
    <w:rsid w:val="00DF68A6"/>
    <w:rsid w:val="00E1098C"/>
    <w:rsid w:val="00E50DB7"/>
    <w:rsid w:val="00E51D05"/>
    <w:rsid w:val="00E5319A"/>
    <w:rsid w:val="00E8119A"/>
    <w:rsid w:val="00E86E4A"/>
    <w:rsid w:val="00EB0796"/>
    <w:rsid w:val="00F34E0D"/>
    <w:rsid w:val="00F72829"/>
    <w:rsid w:val="00F72A4F"/>
    <w:rsid w:val="00F72BCD"/>
    <w:rsid w:val="00F750EC"/>
    <w:rsid w:val="00FB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1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F72BC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E84A52C1341484B254DA7FF936FAC462CCC09BEF38D83447DEE79FAF003301E054B6C78D8DDDC25038EF31766A6CC83709F4E3AC5EBd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E110C0AE3F69214C4A645950E96FA552663091C6D2E786EDCD6EE1D6F7727BF50CEDE8B7EF9558D80EBC0491A42774E090B223D5A56A1BECVB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E110C0AE3F69214C4A645950E96FA55266339CC4D1E786EDCD6EE1D6F7727BF50CEDE8B7EA955CDC0EBC0491A42774E090B223D5A56A1BECVB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78AC3074556F006ECCB3EF8B31483FEB243D43FFC0873142104ADB581B5306324B68FFFB3A90D757B49A7331AE860A0AC29DBD522Q5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DD43-2131-4374-AF77-C68AA49A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User</cp:lastModifiedBy>
  <cp:revision>109</cp:revision>
  <dcterms:created xsi:type="dcterms:W3CDTF">2015-05-20T06:35:00Z</dcterms:created>
  <dcterms:modified xsi:type="dcterms:W3CDTF">2022-06-03T07:52:00Z</dcterms:modified>
</cp:coreProperties>
</file>