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4"/>
        <w:gridCol w:w="1987"/>
        <w:gridCol w:w="3685"/>
      </w:tblGrid>
      <w:tr w:rsidR="00E74F70" w:rsidTr="00483CDF">
        <w:trPr>
          <w:jc w:val="center"/>
        </w:trPr>
        <w:tc>
          <w:tcPr>
            <w:tcW w:w="3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74F70" w:rsidRDefault="00E74F70" w:rsidP="00483C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E74F70" w:rsidRDefault="00E74F70" w:rsidP="00483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АЛТАЙ</w:t>
            </w:r>
          </w:p>
          <w:p w:rsidR="00E74F70" w:rsidRDefault="00E74F70" w:rsidP="00483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74F70" w:rsidRDefault="00E74F70" w:rsidP="00483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74F70" w:rsidRDefault="00E74F70" w:rsidP="00483CDF">
            <w:pPr>
              <w:pStyle w:val="a3"/>
              <w:rPr>
                <w:sz w:val="28"/>
                <w:szCs w:val="28"/>
              </w:rPr>
            </w:pPr>
          </w:p>
          <w:p w:rsidR="00E74F70" w:rsidRDefault="00E74F70" w:rsidP="00483CDF">
            <w:pPr>
              <w:pStyle w:val="a3"/>
              <w:rPr>
                <w:sz w:val="28"/>
                <w:szCs w:val="28"/>
              </w:rPr>
            </w:pPr>
          </w:p>
          <w:p w:rsidR="00E74F70" w:rsidRDefault="00E74F70" w:rsidP="00483CD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74F70" w:rsidRDefault="00E74F70" w:rsidP="00483CDF">
            <w:pPr>
              <w:pStyle w:val="a3"/>
              <w:rPr>
                <w:sz w:val="28"/>
                <w:szCs w:val="28"/>
              </w:rPr>
            </w:pPr>
          </w:p>
          <w:p w:rsidR="00E74F70" w:rsidRDefault="00E74F70" w:rsidP="00483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 РЕСПУБЛИКА</w:t>
            </w:r>
          </w:p>
          <w:p w:rsidR="00E74F70" w:rsidRDefault="00E74F70" w:rsidP="00483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ЧАМАЛ АЙМАКТЫ</w:t>
            </w:r>
            <w:r>
              <w:rPr>
                <w:spacing w:val="-80"/>
                <w:sz w:val="28"/>
                <w:szCs w:val="28"/>
              </w:rPr>
              <w:t>НГ</w:t>
            </w:r>
          </w:p>
          <w:p w:rsidR="00E74F70" w:rsidRDefault="00E74F70" w:rsidP="00483CD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АДМИНИСТРАЦИЯЗЫ</w:t>
            </w:r>
          </w:p>
          <w:p w:rsidR="00E74F70" w:rsidRDefault="00E74F70" w:rsidP="00483CDF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4F70" w:rsidRDefault="00E74F70" w:rsidP="00483CDF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E74F70" w:rsidRDefault="00E74F70" w:rsidP="00E74F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74F70" w:rsidRDefault="00E74F70" w:rsidP="00E74F70">
      <w:pPr>
        <w:pStyle w:val="a3"/>
        <w:rPr>
          <w:sz w:val="28"/>
          <w:szCs w:val="28"/>
        </w:rPr>
      </w:pPr>
      <w:r>
        <w:rPr>
          <w:sz w:val="28"/>
        </w:rPr>
        <w:t xml:space="preserve">ПОСТАНОВЛЕНИЕ                                                                        </w:t>
      </w:r>
      <w:r>
        <w:rPr>
          <w:sz w:val="28"/>
          <w:lang w:val="en-US"/>
        </w:rPr>
        <w:t>JAKAA</w:t>
      </w:r>
      <w:proofErr w:type="gramStart"/>
      <w:r>
        <w:rPr>
          <w:sz w:val="28"/>
        </w:rPr>
        <w:t>Н</w:t>
      </w:r>
      <w:proofErr w:type="gramEnd"/>
    </w:p>
    <w:p w:rsidR="00E74F70" w:rsidRPr="00856286" w:rsidRDefault="00E74F70" w:rsidP="00E74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F70" w:rsidRPr="00660644" w:rsidRDefault="00E74F70" w:rsidP="00E74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644">
        <w:rPr>
          <w:rFonts w:ascii="Times New Roman" w:hAnsi="Times New Roman"/>
          <w:sz w:val="28"/>
          <w:szCs w:val="28"/>
        </w:rPr>
        <w:t xml:space="preserve">от </w:t>
      </w:r>
      <w:r w:rsidR="00A834E6">
        <w:rPr>
          <w:rFonts w:ascii="Times New Roman" w:hAnsi="Times New Roman"/>
          <w:sz w:val="28"/>
          <w:szCs w:val="28"/>
        </w:rPr>
        <w:t>19.07.</w:t>
      </w:r>
      <w:r w:rsidRPr="0066064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660644">
        <w:rPr>
          <w:rFonts w:ascii="Times New Roman" w:hAnsi="Times New Roman"/>
          <w:sz w:val="28"/>
          <w:szCs w:val="28"/>
        </w:rPr>
        <w:t xml:space="preserve"> года № </w:t>
      </w:r>
      <w:r w:rsidR="00A834E6">
        <w:rPr>
          <w:rFonts w:ascii="Times New Roman" w:hAnsi="Times New Roman"/>
          <w:sz w:val="28"/>
          <w:szCs w:val="28"/>
        </w:rPr>
        <w:t>78</w:t>
      </w:r>
    </w:p>
    <w:p w:rsidR="00E74F70" w:rsidRPr="00660644" w:rsidRDefault="00E74F70" w:rsidP="00E74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0644">
        <w:rPr>
          <w:rFonts w:ascii="Times New Roman" w:hAnsi="Times New Roman"/>
          <w:sz w:val="28"/>
          <w:szCs w:val="28"/>
        </w:rPr>
        <w:t>с. Чемал</w:t>
      </w:r>
    </w:p>
    <w:p w:rsidR="00E74F70" w:rsidRDefault="00E74F70" w:rsidP="00E74F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F70" w:rsidRPr="00A815B5" w:rsidRDefault="00E74F70" w:rsidP="00E74F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E5D" w:rsidRDefault="00483CDF" w:rsidP="009F717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proofErr w:type="gramStart"/>
      <w:r w:rsidRPr="00483CDF"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r:id="rId8" w:history="1">
        <w:r w:rsidRPr="00483CDF">
          <w:rPr>
            <w:rFonts w:ascii="Times New Roman" w:eastAsiaTheme="minorHAnsi" w:hAnsi="Times New Roman"/>
            <w:b/>
            <w:sz w:val="28"/>
            <w:szCs w:val="28"/>
            <w:lang w:eastAsia="en-US"/>
          </w:rPr>
          <w:t>Правил</w:t>
        </w:r>
      </w:hyperlink>
      <w:r w:rsidRPr="00483CD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</w:t>
      </w:r>
      <w:r w:rsidRPr="00483CDF">
        <w:rPr>
          <w:rFonts w:ascii="Times New Roman" w:hAnsi="Times New Roman"/>
          <w:b/>
          <w:noProof/>
          <w:sz w:val="28"/>
          <w:szCs w:val="28"/>
        </w:rPr>
        <w:t xml:space="preserve"> физических лиц, применяющих специальный налоговый режим</w:t>
      </w:r>
      <w:r w:rsidRPr="00483CDF">
        <w:rPr>
          <w:rFonts w:ascii="Times New Roman" w:eastAsiaTheme="minorHAnsi" w:hAnsi="Times New Roman"/>
          <w:b/>
          <w:sz w:val="28"/>
          <w:szCs w:val="28"/>
          <w:lang w:eastAsia="en-US"/>
        </w:rPr>
        <w:t>)</w:t>
      </w:r>
      <w:r w:rsidR="00DA0E5D">
        <w:rPr>
          <w:rFonts w:ascii="Times New Roman" w:eastAsiaTheme="minorHAnsi" w:hAnsi="Times New Roman"/>
          <w:b/>
          <w:sz w:val="28"/>
          <w:szCs w:val="28"/>
          <w:lang w:eastAsia="en-US"/>
        </w:rPr>
        <w:t>, предусмотренного частью 4 статьи 18 Федерального закона «О развитии малого и среднего предпринимательства в Российской Федерации».</w:t>
      </w:r>
      <w:proofErr w:type="gramEnd"/>
    </w:p>
    <w:p w:rsidR="00483CDF" w:rsidRPr="00483CDF" w:rsidRDefault="00483CDF" w:rsidP="009F7177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1F0AA2" w:rsidRPr="00483CDF" w:rsidRDefault="001F0AA2" w:rsidP="001F0AA2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483CDF">
        <w:rPr>
          <w:rFonts w:ascii="Times New Roman" w:hAnsi="Times New Roman"/>
          <w:noProof/>
          <w:sz w:val="28"/>
          <w:szCs w:val="28"/>
        </w:rPr>
        <w:tab/>
      </w:r>
      <w:r w:rsidR="00EC499D">
        <w:rPr>
          <w:rFonts w:ascii="Times New Roman" w:hAnsi="Times New Roman"/>
          <w:noProof/>
          <w:sz w:val="28"/>
          <w:szCs w:val="28"/>
        </w:rPr>
        <w:t xml:space="preserve">В соответствии с частью 4 </w:t>
      </w:r>
      <w:r w:rsidR="004B5598" w:rsidRPr="00483CDF">
        <w:rPr>
          <w:rFonts w:ascii="Times New Roman" w:hAnsi="Times New Roman"/>
          <w:noProof/>
          <w:sz w:val="28"/>
          <w:szCs w:val="28"/>
        </w:rPr>
        <w:t xml:space="preserve"> ст</w:t>
      </w:r>
      <w:r w:rsidR="00EC499D">
        <w:rPr>
          <w:rFonts w:ascii="Times New Roman" w:hAnsi="Times New Roman"/>
          <w:noProof/>
          <w:sz w:val="28"/>
          <w:szCs w:val="28"/>
        </w:rPr>
        <w:t>атьи</w:t>
      </w:r>
      <w:r w:rsidR="004B5598" w:rsidRPr="00483CDF">
        <w:rPr>
          <w:rFonts w:ascii="Times New Roman" w:hAnsi="Times New Roman"/>
          <w:noProof/>
          <w:sz w:val="28"/>
          <w:szCs w:val="28"/>
        </w:rPr>
        <w:t xml:space="preserve"> 1</w:t>
      </w:r>
      <w:r w:rsidR="00DA0E5D">
        <w:rPr>
          <w:rFonts w:ascii="Times New Roman" w:hAnsi="Times New Roman"/>
          <w:noProof/>
          <w:sz w:val="28"/>
          <w:szCs w:val="28"/>
        </w:rPr>
        <w:t>8</w:t>
      </w:r>
      <w:r w:rsidR="004B5598" w:rsidRPr="00483CDF">
        <w:rPr>
          <w:rFonts w:ascii="Times New Roman" w:hAnsi="Times New Roman"/>
          <w:noProof/>
          <w:sz w:val="28"/>
          <w:szCs w:val="28"/>
        </w:rPr>
        <w:t xml:space="preserve"> Федерального закона от 24.07.2007 № 209-ФЗ «</w:t>
      </w:r>
      <w:r w:rsidR="00F6564B" w:rsidRPr="00483CDF">
        <w:rPr>
          <w:rFonts w:ascii="Times New Roman" w:hAnsi="Times New Roman"/>
          <w:noProof/>
          <w:sz w:val="28"/>
          <w:szCs w:val="28"/>
        </w:rPr>
        <w:t>О развитии малого и среднего предпринимате</w:t>
      </w:r>
      <w:r w:rsidR="00483CDF" w:rsidRPr="00483CDF">
        <w:rPr>
          <w:rFonts w:ascii="Times New Roman" w:hAnsi="Times New Roman"/>
          <w:noProof/>
          <w:sz w:val="28"/>
          <w:szCs w:val="28"/>
        </w:rPr>
        <w:t xml:space="preserve">льства в Российской Федерации» </w:t>
      </w:r>
      <w:r w:rsidR="00F6564B" w:rsidRPr="00483CDF">
        <w:rPr>
          <w:rFonts w:ascii="Times New Roman" w:hAnsi="Times New Roman"/>
          <w:noProof/>
          <w:sz w:val="28"/>
          <w:szCs w:val="28"/>
        </w:rPr>
        <w:t xml:space="preserve"> Администрация Чемальского района </w:t>
      </w:r>
      <w:r w:rsidR="00F6564B" w:rsidRPr="00483CDF">
        <w:rPr>
          <w:rFonts w:ascii="Times New Roman" w:hAnsi="Times New Roman"/>
          <w:b/>
          <w:bCs/>
          <w:noProof/>
          <w:sz w:val="28"/>
          <w:szCs w:val="28"/>
        </w:rPr>
        <w:t>п о с т а н о в л я е т:</w:t>
      </w:r>
    </w:p>
    <w:p w:rsidR="00483CDF" w:rsidRPr="00483CDF" w:rsidRDefault="00483CDF" w:rsidP="00483CD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734E">
        <w:rPr>
          <w:rFonts w:ascii="Times New Roman" w:hAnsi="Times New Roman"/>
          <w:noProof/>
          <w:sz w:val="28"/>
          <w:szCs w:val="28"/>
        </w:rPr>
        <w:t xml:space="preserve">  1</w:t>
      </w:r>
      <w:r w:rsidR="00A044E2" w:rsidRPr="00C5734E">
        <w:rPr>
          <w:rFonts w:ascii="Times New Roman" w:hAnsi="Times New Roman"/>
          <w:sz w:val="28"/>
          <w:szCs w:val="28"/>
        </w:rPr>
        <w:t>.</w:t>
      </w:r>
      <w:r w:rsidR="00A044E2" w:rsidRPr="00483C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3CDF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прилагаемые </w:t>
      </w:r>
      <w:hyperlink r:id="rId9" w:history="1">
        <w:r w:rsidRPr="00483CDF">
          <w:rPr>
            <w:rFonts w:ascii="Times New Roman" w:eastAsiaTheme="minorHAnsi" w:hAnsi="Times New Roman"/>
            <w:sz w:val="28"/>
            <w:szCs w:val="28"/>
            <w:lang w:eastAsia="en-US"/>
          </w:rPr>
          <w:t>Правила</w:t>
        </w:r>
      </w:hyperlink>
      <w:r w:rsidRPr="00483CDF">
        <w:rPr>
          <w:rFonts w:ascii="Times New Roman" w:eastAsiaTheme="minorHAnsi" w:hAnsi="Times New Roman"/>
          <w:sz w:val="28"/>
          <w:szCs w:val="28"/>
          <w:lang w:eastAsia="en-US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r w:rsidRPr="00483CDF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483CDF">
        <w:rPr>
          <w:rFonts w:ascii="Times New Roman" w:hAnsi="Times New Roman"/>
          <w:noProof/>
          <w:sz w:val="28"/>
          <w:szCs w:val="28"/>
        </w:rPr>
        <w:t>физических лиц, применяющих специальный налоговый режим</w:t>
      </w:r>
      <w:r w:rsidRPr="00483CDF">
        <w:rPr>
          <w:rFonts w:ascii="Times New Roman" w:eastAsiaTheme="minorHAnsi" w:hAnsi="Times New Roman"/>
          <w:sz w:val="28"/>
          <w:szCs w:val="28"/>
          <w:lang w:eastAsia="en-US"/>
        </w:rPr>
        <w:t xml:space="preserve">), предусмотренного </w:t>
      </w:r>
      <w:hyperlink r:id="rId10" w:history="1">
        <w:r w:rsidRPr="00483CDF">
          <w:rPr>
            <w:rFonts w:ascii="Times New Roman" w:eastAsiaTheme="minorHAnsi" w:hAnsi="Times New Roman"/>
            <w:sz w:val="28"/>
            <w:szCs w:val="28"/>
            <w:lang w:eastAsia="en-US"/>
          </w:rPr>
          <w:t>частью 4 статьи 18</w:t>
        </w:r>
      </w:hyperlink>
      <w:r w:rsidRPr="00483CDF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"О развитии малого и среднего предпринимательства в Российской Федерации".</w:t>
      </w:r>
      <w:proofErr w:type="gramEnd"/>
    </w:p>
    <w:p w:rsidR="00EC499D" w:rsidRDefault="00483CDF" w:rsidP="008609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3CDF">
        <w:rPr>
          <w:rFonts w:ascii="Times New Roman" w:hAnsi="Times New Roman"/>
          <w:sz w:val="28"/>
          <w:szCs w:val="28"/>
        </w:rPr>
        <w:t xml:space="preserve"> </w:t>
      </w:r>
    </w:p>
    <w:p w:rsidR="008609F1" w:rsidRPr="00483CDF" w:rsidRDefault="00483CDF" w:rsidP="008609F1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483CDF">
        <w:rPr>
          <w:rFonts w:ascii="Times New Roman" w:hAnsi="Times New Roman"/>
          <w:sz w:val="28"/>
          <w:szCs w:val="28"/>
        </w:rPr>
        <w:t>2</w:t>
      </w:r>
      <w:r w:rsidR="008609F1" w:rsidRPr="00483CDF">
        <w:rPr>
          <w:rFonts w:ascii="Times New Roman" w:hAnsi="Times New Roman"/>
          <w:noProof/>
          <w:sz w:val="28"/>
          <w:szCs w:val="28"/>
        </w:rPr>
        <w:t>. Постановление</w:t>
      </w:r>
      <w:r w:rsidRPr="00483CDF">
        <w:rPr>
          <w:rFonts w:ascii="Times New Roman" w:hAnsi="Times New Roman"/>
          <w:noProof/>
          <w:sz w:val="28"/>
          <w:szCs w:val="28"/>
        </w:rPr>
        <w:t xml:space="preserve"> администрации Чемальского района </w:t>
      </w:r>
      <w:r w:rsidR="008609F1" w:rsidRPr="00483CDF">
        <w:rPr>
          <w:rFonts w:ascii="Times New Roman" w:hAnsi="Times New Roman"/>
          <w:noProof/>
          <w:sz w:val="28"/>
          <w:szCs w:val="28"/>
        </w:rPr>
        <w:t xml:space="preserve"> № 77 от 14 июня 2016 года «О реализации положений Федерального закона от 24.07.2007 № 209-ФЗ «О развитии малого и среднего предпринимат</w:t>
      </w:r>
      <w:r w:rsidRPr="00483CDF">
        <w:rPr>
          <w:rFonts w:ascii="Times New Roman" w:hAnsi="Times New Roman"/>
          <w:noProof/>
          <w:sz w:val="28"/>
          <w:szCs w:val="28"/>
        </w:rPr>
        <w:t>ельства в Российской Федерации» признать утратившим силу.</w:t>
      </w:r>
    </w:p>
    <w:p w:rsidR="00E74F70" w:rsidRPr="002B5066" w:rsidRDefault="00E74F70" w:rsidP="00E74F7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E74F70" w:rsidRDefault="00E74F70" w:rsidP="00E74F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F70" w:rsidRDefault="00E74F70" w:rsidP="00E74F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Глава</w:t>
      </w:r>
      <w:r w:rsidR="00D36826">
        <w:rPr>
          <w:rFonts w:ascii="Times New Roman" w:hAnsi="Times New Roman"/>
          <w:sz w:val="28"/>
          <w:szCs w:val="28"/>
        </w:rPr>
        <w:t xml:space="preserve"> </w:t>
      </w:r>
    </w:p>
    <w:p w:rsidR="00656798" w:rsidRDefault="00E74F70" w:rsidP="006567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5066">
        <w:rPr>
          <w:rFonts w:ascii="Times New Roman" w:hAnsi="Times New Roman"/>
          <w:sz w:val="28"/>
          <w:szCs w:val="28"/>
        </w:rPr>
        <w:t xml:space="preserve">Чемальского  района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B5066">
        <w:rPr>
          <w:rFonts w:ascii="Times New Roman" w:hAnsi="Times New Roman"/>
          <w:sz w:val="28"/>
          <w:szCs w:val="28"/>
        </w:rPr>
        <w:t xml:space="preserve">                      </w:t>
      </w:r>
      <w:r w:rsidR="00D36826">
        <w:rPr>
          <w:rFonts w:ascii="Times New Roman" w:hAnsi="Times New Roman"/>
          <w:sz w:val="28"/>
          <w:szCs w:val="28"/>
        </w:rPr>
        <w:t xml:space="preserve">             </w:t>
      </w:r>
      <w:r w:rsidRPr="002B5066">
        <w:rPr>
          <w:rFonts w:ascii="Times New Roman" w:hAnsi="Times New Roman"/>
          <w:sz w:val="28"/>
          <w:szCs w:val="28"/>
        </w:rPr>
        <w:t xml:space="preserve">                  А.А. Алисов      </w:t>
      </w:r>
    </w:p>
    <w:p w:rsidR="00656798" w:rsidRPr="00711374" w:rsidRDefault="00656798" w:rsidP="00656798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11374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  <w:proofErr w:type="gramEnd"/>
    </w:p>
    <w:p w:rsidR="00656798" w:rsidRPr="00711374" w:rsidRDefault="00656798" w:rsidP="0065679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11374">
        <w:rPr>
          <w:rFonts w:ascii="Times New Roman" w:hAnsi="Times New Roman"/>
          <w:sz w:val="28"/>
          <w:szCs w:val="28"/>
        </w:rPr>
        <w:t>Постановлением</w:t>
      </w:r>
    </w:p>
    <w:p w:rsidR="00656798" w:rsidRPr="00711374" w:rsidRDefault="00656798" w:rsidP="0065679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11374">
        <w:rPr>
          <w:rFonts w:ascii="Times New Roman" w:hAnsi="Times New Roman"/>
          <w:sz w:val="28"/>
          <w:szCs w:val="28"/>
        </w:rPr>
        <w:t>Администрации Чемальского района</w:t>
      </w:r>
    </w:p>
    <w:p w:rsidR="00656798" w:rsidRDefault="00656798" w:rsidP="0065679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1137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19.07.2021 года</w:t>
      </w:r>
      <w:r w:rsidRPr="0071137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78</w:t>
      </w:r>
    </w:p>
    <w:p w:rsidR="00656798" w:rsidRDefault="00656798" w:rsidP="0065679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56798" w:rsidRPr="00EE2C59" w:rsidRDefault="00656798" w:rsidP="006567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6798" w:rsidRPr="00804A20" w:rsidRDefault="00656798" w:rsidP="00656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04A20">
        <w:rPr>
          <w:rFonts w:ascii="Times New Roman" w:hAnsi="Times New Roman"/>
          <w:b/>
          <w:sz w:val="28"/>
          <w:szCs w:val="28"/>
        </w:rPr>
        <w:t xml:space="preserve">Правила формирования, ведения и обязательного опубликования </w:t>
      </w:r>
      <w:hyperlink r:id="rId11" w:history="1">
        <w:r w:rsidRPr="00804A20">
          <w:rPr>
            <w:rFonts w:ascii="Times New Roman" w:hAnsi="Times New Roman"/>
            <w:b/>
            <w:sz w:val="28"/>
            <w:szCs w:val="28"/>
          </w:rPr>
          <w:t>перечня</w:t>
        </w:r>
      </w:hyperlink>
      <w:r w:rsidRPr="00804A20">
        <w:rPr>
          <w:rFonts w:ascii="Times New Roman" w:hAnsi="Times New Roman"/>
          <w:b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применяющих специальный налоговый режим)</w:t>
      </w:r>
      <w:r>
        <w:rPr>
          <w:rFonts w:ascii="Times New Roman" w:hAnsi="Times New Roman"/>
          <w:b/>
          <w:sz w:val="28"/>
          <w:szCs w:val="28"/>
        </w:rPr>
        <w:t>, предусмотренного частью 4 статьи 18 Федерального закона «О развитии малого и среднего предпринимательства в Российской Федерации».</w:t>
      </w:r>
      <w:proofErr w:type="gramEnd"/>
    </w:p>
    <w:p w:rsidR="00656798" w:rsidRPr="00EE2C59" w:rsidRDefault="00656798" w:rsidP="0065679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6798" w:rsidRPr="00A12212" w:rsidRDefault="00656798" w:rsidP="00656798">
      <w:pPr>
        <w:pStyle w:val="a7"/>
        <w:spacing w:after="0"/>
        <w:ind w:left="316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798" w:rsidRDefault="00656798" w:rsidP="00656798">
      <w:pPr>
        <w:pStyle w:val="a7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22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применяющих специальный налоговый режим), предусмотренного частью 4 статьи 18 Федерального закона  «О развитии малого и среднего предпринимательства 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 (далее соответственно –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режим.</w:t>
      </w:r>
    </w:p>
    <w:p w:rsidR="00656798" w:rsidRPr="002C4051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2C4051">
        <w:rPr>
          <w:rFonts w:ascii="Times New Roman" w:hAnsi="Times New Roman"/>
          <w:sz w:val="28"/>
          <w:szCs w:val="28"/>
        </w:rPr>
        <w:t xml:space="preserve">В Перечень вносятся сведения о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2C4051">
        <w:rPr>
          <w:rFonts w:ascii="Times New Roman" w:hAnsi="Times New Roman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(в том числе о земельных участках, государственная собственность на которые не разграничена) </w:t>
      </w:r>
      <w:r w:rsidRPr="002C4051">
        <w:rPr>
          <w:rFonts w:ascii="Times New Roman" w:hAnsi="Times New Roman"/>
          <w:sz w:val="28"/>
          <w:szCs w:val="28"/>
        </w:rPr>
        <w:t>соответствующем следующим критериям: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а) муниципальное и</w:t>
      </w:r>
      <w:r w:rsidRPr="005A25E7">
        <w:rPr>
          <w:rFonts w:ascii="Times New Roman" w:hAnsi="Times New Roman"/>
          <w:sz w:val="28"/>
          <w:szCs w:val="28"/>
        </w:rPr>
        <w:t>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физических лиц, применяющим специальный налоговый режим</w:t>
      </w:r>
      <w:r w:rsidRPr="005A25E7">
        <w:rPr>
          <w:rFonts w:ascii="Times New Roman" w:hAnsi="Times New Roman"/>
          <w:sz w:val="28"/>
          <w:szCs w:val="28"/>
        </w:rPr>
        <w:t>);</w:t>
      </w:r>
      <w:proofErr w:type="gramEnd"/>
    </w:p>
    <w:p w:rsidR="00656798" w:rsidRPr="005A25E7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в</w:t>
      </w:r>
      <w:r w:rsidRPr="005A25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25E7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5A2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5A25E7">
        <w:rPr>
          <w:rFonts w:ascii="Times New Roman" w:hAnsi="Times New Roman"/>
          <w:sz w:val="28"/>
          <w:szCs w:val="28"/>
        </w:rPr>
        <w:t xml:space="preserve">имущества </w:t>
      </w:r>
      <w:r>
        <w:rPr>
          <w:rFonts w:ascii="Times New Roman" w:hAnsi="Times New Roman"/>
          <w:sz w:val="28"/>
          <w:szCs w:val="28"/>
        </w:rPr>
        <w:t xml:space="preserve">федеральными </w:t>
      </w:r>
      <w:r w:rsidRPr="005A25E7">
        <w:rPr>
          <w:rFonts w:ascii="Times New Roman" w:hAnsi="Times New Roman"/>
          <w:sz w:val="28"/>
          <w:szCs w:val="28"/>
        </w:rPr>
        <w:t>законами не установлен запрет на его передачу во временное владение и (или) пользование, в том числе в аренду</w:t>
      </w:r>
      <w:r>
        <w:rPr>
          <w:rFonts w:ascii="Times New Roman" w:hAnsi="Times New Roman"/>
          <w:sz w:val="28"/>
          <w:szCs w:val="28"/>
        </w:rPr>
        <w:t xml:space="preserve"> на торгах или без проведения торгов</w:t>
      </w:r>
      <w:r w:rsidRPr="005A25E7">
        <w:rPr>
          <w:rFonts w:ascii="Times New Roman" w:hAnsi="Times New Roman"/>
          <w:sz w:val="28"/>
          <w:szCs w:val="28"/>
        </w:rPr>
        <w:t>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в) муниципальное и</w:t>
      </w:r>
      <w:r w:rsidRPr="005A25E7">
        <w:rPr>
          <w:rFonts w:ascii="Times New Roman" w:hAnsi="Times New Roman"/>
          <w:sz w:val="28"/>
          <w:szCs w:val="28"/>
        </w:rPr>
        <w:t>мущество не является объектом религиозного назначения;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имущества не принято решение администрации Чемальского района о предоставлении его иным лицам;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ж) муниципальное и</w:t>
      </w:r>
      <w:r w:rsidRPr="005A25E7">
        <w:rPr>
          <w:rFonts w:ascii="Times New Roman" w:hAnsi="Times New Roman"/>
          <w:sz w:val="28"/>
          <w:szCs w:val="28"/>
        </w:rPr>
        <w:t>мущество не признано аварийным и подлежащим сносу</w:t>
      </w:r>
      <w:r>
        <w:rPr>
          <w:rFonts w:ascii="Times New Roman" w:hAnsi="Times New Roman"/>
          <w:sz w:val="28"/>
          <w:szCs w:val="28"/>
        </w:rPr>
        <w:t xml:space="preserve"> или реконструкции</w:t>
      </w:r>
      <w:r w:rsidRPr="005A25E7">
        <w:rPr>
          <w:rFonts w:ascii="Times New Roman" w:hAnsi="Times New Roman"/>
          <w:sz w:val="28"/>
          <w:szCs w:val="28"/>
        </w:rPr>
        <w:t>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з</w:t>
      </w:r>
      <w:r w:rsidRPr="005A25E7">
        <w:rPr>
          <w:rFonts w:ascii="Times New Roman" w:hAnsi="Times New Roman"/>
          <w:sz w:val="28"/>
          <w:szCs w:val="28"/>
        </w:rPr>
        <w:t>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56798" w:rsidRPr="00225DE4" w:rsidRDefault="00656798" w:rsidP="0065679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6092A">
        <w:rPr>
          <w:rFonts w:ascii="Times New Roman" w:hAnsi="Times New Roman"/>
          <w:b/>
          <w:sz w:val="28"/>
          <w:szCs w:val="28"/>
        </w:rPr>
        <w:t xml:space="preserve">    </w:t>
      </w:r>
      <w:r w:rsidRPr="00225DE4">
        <w:rPr>
          <w:rFonts w:ascii="Times New Roman" w:hAnsi="Times New Roman"/>
          <w:bCs/>
          <w:sz w:val="28"/>
          <w:szCs w:val="28"/>
        </w:rPr>
        <w:t>и) земельный участок не относится к земельным участкам, предусмотренным подпунктами 1 – 10, 13 –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56798" w:rsidRDefault="00656798" w:rsidP="0065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перечень;</w:t>
      </w:r>
      <w:proofErr w:type="gramEnd"/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л) муниципальное и</w:t>
      </w:r>
      <w:r w:rsidRPr="005A25E7">
        <w:rPr>
          <w:rFonts w:ascii="Times New Roman" w:hAnsi="Times New Roman"/>
          <w:sz w:val="28"/>
          <w:szCs w:val="28"/>
        </w:rPr>
        <w:t xml:space="preserve">мущество не относится к </w:t>
      </w:r>
      <w:r>
        <w:rPr>
          <w:rFonts w:ascii="Times New Roman" w:hAnsi="Times New Roman"/>
          <w:sz w:val="28"/>
          <w:szCs w:val="28"/>
        </w:rPr>
        <w:t>имуществу</w:t>
      </w:r>
      <w:r w:rsidRPr="005A25E7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ое</w:t>
      </w:r>
      <w:r w:rsidRPr="005A25E7">
        <w:rPr>
          <w:rFonts w:ascii="Times New Roman" w:hAnsi="Times New Roman"/>
          <w:sz w:val="28"/>
          <w:szCs w:val="28"/>
        </w:rPr>
        <w:t xml:space="preserve"> теря</w:t>
      </w:r>
      <w:r>
        <w:rPr>
          <w:rFonts w:ascii="Times New Roman" w:hAnsi="Times New Roman"/>
          <w:sz w:val="28"/>
          <w:szCs w:val="28"/>
        </w:rPr>
        <w:t>е</w:t>
      </w:r>
      <w:r w:rsidRPr="005A25E7">
        <w:rPr>
          <w:rFonts w:ascii="Times New Roman" w:hAnsi="Times New Roman"/>
          <w:sz w:val="28"/>
          <w:szCs w:val="28"/>
        </w:rPr>
        <w:t xml:space="preserve">т свои натуральные свойства в процессе использования (потребляемым вещам), к имуществу, срок службы которого составляет менее пяти лет или </w:t>
      </w:r>
      <w:r>
        <w:rPr>
          <w:rFonts w:ascii="Times New Roman" w:hAnsi="Times New Roman"/>
          <w:sz w:val="28"/>
          <w:szCs w:val="28"/>
        </w:rPr>
        <w:t>которое не подлежит предоставлению в аренду на срок пять лет и более в соответствии с законодательством Российской Федерации.</w:t>
      </w:r>
      <w:proofErr w:type="gramEnd"/>
    </w:p>
    <w:p w:rsidR="00656798" w:rsidRDefault="00656798" w:rsidP="0065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D772C7">
        <w:rPr>
          <w:rFonts w:ascii="Times New Roman" w:hAnsi="Times New Roman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осуществляется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Чемальского района </w:t>
      </w:r>
      <w:r w:rsidRPr="00D772C7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– уполномоченный орган) об утверждении перечня или о внесении в него изменений  на основе предложений органов администрации района, органов местного самоуправления сельских поселений, муниципальных унитарных предприятий,  муниципальных учреждений, владеющих муниципальным имуществом на праве хозяйственного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рабочих дней с момента утверждения изменений в реестр муниципального имущества обеспечивает внесение соответствующих изменений в перечень.</w:t>
      </w:r>
      <w:proofErr w:type="gramEnd"/>
    </w:p>
    <w:p w:rsidR="00656798" w:rsidRPr="00D0366A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r w:rsidRPr="00D0366A">
        <w:rPr>
          <w:rFonts w:ascii="Times New Roman" w:hAnsi="Times New Roman"/>
          <w:sz w:val="28"/>
          <w:szCs w:val="28"/>
        </w:rPr>
        <w:t xml:space="preserve">Рассмотрение предложения, указанного в </w:t>
      </w:r>
      <w:proofErr w:type="gramStart"/>
      <w:r w:rsidRPr="00D0366A">
        <w:rPr>
          <w:rFonts w:ascii="Times New Roman" w:hAnsi="Times New Roman"/>
          <w:sz w:val="28"/>
          <w:szCs w:val="28"/>
        </w:rPr>
        <w:t>пункте</w:t>
      </w:r>
      <w:proofErr w:type="gramEnd"/>
      <w:r w:rsidRPr="00D0366A">
        <w:rPr>
          <w:rFonts w:ascii="Times New Roman" w:hAnsi="Times New Roman"/>
          <w:sz w:val="28"/>
          <w:szCs w:val="28"/>
        </w:rPr>
        <w:t xml:space="preserve"> 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об отказе в учете предложения.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</w:t>
      </w:r>
      <w:proofErr w:type="gramStart"/>
      <w:r>
        <w:rPr>
          <w:rFonts w:ascii="Times New Roman" w:hAnsi="Times New Roman"/>
          <w:sz w:val="28"/>
          <w:szCs w:val="28"/>
        </w:rPr>
        <w:t>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  <w:proofErr w:type="gramEnd"/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</w:t>
      </w:r>
      <w:proofErr w:type="gramStart"/>
      <w:r>
        <w:rPr>
          <w:rFonts w:ascii="Times New Roman" w:hAnsi="Times New Roman"/>
          <w:sz w:val="28"/>
          <w:szCs w:val="28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</w:t>
      </w:r>
      <w:r w:rsidRPr="00537C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лиц, применяющих специальный налоговый режим не поступило:</w:t>
      </w:r>
      <w:proofErr w:type="gramEnd"/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б) ни одного заявления о предоставлении муниципального имущества, в том числе земельного участка, в отношении которого заключение указанного договора 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 Уполномоченный орган исключает сведения о муниципальном имуществе из перечня в одном следующих случаев: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а) в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имущества в установленном законодательством  Российской Федерации порядке принято решение администрации Чемальского района о его использовании для муниципальных нужд либо для иных целей;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б) право муниципальной собственности на имущество прекращено по решению суда или в ином установленном законом порядке;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в) муниципальное имущество не соответствует критериям, установленным пунктом 2 настоящих Правил.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</w:t>
      </w:r>
      <w:proofErr w:type="gramStart"/>
      <w:r>
        <w:rPr>
          <w:rFonts w:ascii="Times New Roman" w:hAnsi="Times New Roman"/>
          <w:sz w:val="28"/>
          <w:szCs w:val="28"/>
        </w:rPr>
        <w:t>Сведения о муниципальном имуществе вносятся в перечень в составе и по форме, которые установлены в соответствии с Приказом Министерства экономического развития Российской Федерации № 264 от 20.04. 2016 года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об 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   </w:t>
      </w:r>
    </w:p>
    <w:p w:rsidR="00656798" w:rsidRDefault="00656798" w:rsidP="0065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9. Сведения о муниципальном имуществе группируются в перечне</w:t>
      </w:r>
      <w:r w:rsidRPr="00D622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муниципальным образованиям (сельским поселениям),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10. Ведение перечня осуществляется уполномоченным органом в электронной форме.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11. Перечень и внесенные в него изменения подлежат: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обязательному опубликованию в газете «Чемальский вестник» – в течение 10 рабочих дней со дня утверждения;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размещению на официальном сайте уполномоченного органа в информационно-телекоммуникационной сети «Интернет» (в том числе в форме открытых данных) – в течение 3 рабочих дней со дня утверждения.</w:t>
      </w:r>
    </w:p>
    <w:p w:rsidR="00656798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798" w:rsidRPr="00DC60F5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6798" w:rsidRPr="006930EF" w:rsidRDefault="00656798" w:rsidP="006567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45DB" w:rsidRPr="00656798" w:rsidRDefault="00E74F70" w:rsidP="006567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50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5DB" w:rsidRPr="00656798" w:rsidSect="00483CDF">
      <w:headerReference w:type="default" r:id="rId12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6E" w:rsidRDefault="00782B6E">
      <w:pPr>
        <w:spacing w:after="0" w:line="240" w:lineRule="auto"/>
      </w:pPr>
      <w:r>
        <w:separator/>
      </w:r>
    </w:p>
  </w:endnote>
  <w:endnote w:type="continuationSeparator" w:id="0">
    <w:p w:rsidR="00782B6E" w:rsidRDefault="0078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6E" w:rsidRDefault="00782B6E">
      <w:pPr>
        <w:spacing w:after="0" w:line="240" w:lineRule="auto"/>
      </w:pPr>
      <w:r>
        <w:separator/>
      </w:r>
    </w:p>
  </w:footnote>
  <w:footnote w:type="continuationSeparator" w:id="0">
    <w:p w:rsidR="00782B6E" w:rsidRDefault="0078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576206"/>
      <w:docPartObj>
        <w:docPartGallery w:val="Page Numbers (Top of Page)"/>
        <w:docPartUnique/>
      </w:docPartObj>
    </w:sdtPr>
    <w:sdtContent>
      <w:p w:rsidR="00483CDF" w:rsidRDefault="00261FFD">
        <w:pPr>
          <w:pStyle w:val="a5"/>
          <w:jc w:val="center"/>
        </w:pPr>
        <w:r>
          <w:fldChar w:fldCharType="begin"/>
        </w:r>
        <w:r w:rsidR="00671982">
          <w:instrText>PAGE   \* MERGEFORMAT</w:instrText>
        </w:r>
        <w:r>
          <w:fldChar w:fldCharType="separate"/>
        </w:r>
        <w:r w:rsidR="006567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CDF" w:rsidRDefault="00483C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392"/>
    <w:multiLevelType w:val="hybridMultilevel"/>
    <w:tmpl w:val="3A149E06"/>
    <w:lvl w:ilvl="0" w:tplc="3476D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231188"/>
    <w:multiLevelType w:val="hybridMultilevel"/>
    <w:tmpl w:val="35AC50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72081"/>
    <w:multiLevelType w:val="hybridMultilevel"/>
    <w:tmpl w:val="FC00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C18AA"/>
    <w:multiLevelType w:val="hybridMultilevel"/>
    <w:tmpl w:val="D2F8F5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31DF7"/>
    <w:multiLevelType w:val="hybridMultilevel"/>
    <w:tmpl w:val="255A4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50C15"/>
    <w:multiLevelType w:val="hybridMultilevel"/>
    <w:tmpl w:val="07A46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B7602"/>
    <w:multiLevelType w:val="hybridMultilevel"/>
    <w:tmpl w:val="514EA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6194"/>
    <w:rsid w:val="000B6D4D"/>
    <w:rsid w:val="00130A16"/>
    <w:rsid w:val="001F0AA2"/>
    <w:rsid w:val="00214880"/>
    <w:rsid w:val="0024255C"/>
    <w:rsid w:val="00256E46"/>
    <w:rsid w:val="00261FFD"/>
    <w:rsid w:val="002C45DB"/>
    <w:rsid w:val="002E37BD"/>
    <w:rsid w:val="00313977"/>
    <w:rsid w:val="003A0332"/>
    <w:rsid w:val="00416194"/>
    <w:rsid w:val="00483CDF"/>
    <w:rsid w:val="004B5598"/>
    <w:rsid w:val="005331B2"/>
    <w:rsid w:val="005D67DF"/>
    <w:rsid w:val="00634DE1"/>
    <w:rsid w:val="00655633"/>
    <w:rsid w:val="00656798"/>
    <w:rsid w:val="00671982"/>
    <w:rsid w:val="00707E19"/>
    <w:rsid w:val="00761276"/>
    <w:rsid w:val="00782B6E"/>
    <w:rsid w:val="008609F1"/>
    <w:rsid w:val="00870157"/>
    <w:rsid w:val="0096205A"/>
    <w:rsid w:val="009E1638"/>
    <w:rsid w:val="009F7177"/>
    <w:rsid w:val="00A044E2"/>
    <w:rsid w:val="00A13988"/>
    <w:rsid w:val="00A834E6"/>
    <w:rsid w:val="00AF59AE"/>
    <w:rsid w:val="00C2470A"/>
    <w:rsid w:val="00C2614D"/>
    <w:rsid w:val="00C5734E"/>
    <w:rsid w:val="00D36826"/>
    <w:rsid w:val="00DA0E5D"/>
    <w:rsid w:val="00DC46DA"/>
    <w:rsid w:val="00E74F70"/>
    <w:rsid w:val="00E927EB"/>
    <w:rsid w:val="00EB21F2"/>
    <w:rsid w:val="00EC499D"/>
    <w:rsid w:val="00F25F9F"/>
    <w:rsid w:val="00F6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7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74F7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74F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74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4F7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E74F7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F65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C6DE5F16DFBE9B0991052E83C8E509410A4757288983D4612D50BAD4D9A8F120F694C17EE7CF84ED566C5126B7DDB2026C8EA80522BF050F78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8E8AABCD960C9CECCF0C85F861952526CC4D89A0563464A85404661C6304FCD74291EBE967D4923884D6822CB139C242D1BBBD0B1397F8K6G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C6DE5F16DFBE9B0991052E83C8E509410D44572A8C83D4612D50BAD4D9A8F120F694C17EE7CC83EB566C5126B7DDB2026C8EA80522BF050F7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C6DE5F16DFBE9B0991052E83C8E509410A4757288983D4612D50BAD4D9A8F120F694C17EE7CF84ED566C5126B7DDB2026C8EA80522BF050F7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6669-5BA4-46B8-B9CF-9EDEC8DE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Шмальц МА</cp:lastModifiedBy>
  <cp:revision>2</cp:revision>
  <dcterms:created xsi:type="dcterms:W3CDTF">2021-07-19T07:36:00Z</dcterms:created>
  <dcterms:modified xsi:type="dcterms:W3CDTF">2021-07-19T07:36:00Z</dcterms:modified>
</cp:coreProperties>
</file>