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4DB" w:rsidRDefault="00B375F4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60" w:type="dxa"/>
        <w:tblInd w:w="15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2711"/>
        <w:gridCol w:w="3261"/>
        <w:gridCol w:w="2128"/>
        <w:gridCol w:w="1560"/>
      </w:tblGrid>
      <w:tr w:rsidR="009C34DB">
        <w:trPr>
          <w:trHeight w:val="273"/>
        </w:trPr>
        <w:tc>
          <w:tcPr>
            <w:tcW w:w="9660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                                            </w:t>
            </w:r>
          </w:p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ПОЯСНИТЕЛЬНАЯ ЗАПИСКА</w:t>
            </w:r>
          </w:p>
        </w:tc>
      </w:tr>
      <w:tr w:rsidR="009C34DB">
        <w:trPr>
          <w:trHeight w:val="337"/>
        </w:trPr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                     к отчету об исполнении консолидированного бюджета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9C34DB">
        <w:trPr>
          <w:trHeight w:val="273"/>
        </w:trPr>
        <w:tc>
          <w:tcPr>
            <w:tcW w:w="27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Форма по ОКУД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0503360</w:t>
            </w:r>
          </w:p>
        </w:tc>
      </w:tr>
      <w:tr w:rsidR="009C34DB">
        <w:trPr>
          <w:trHeight w:val="273"/>
        </w:trPr>
        <w:tc>
          <w:tcPr>
            <w:tcW w:w="597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января 2026 г.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Дата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01.01.2026</w:t>
            </w:r>
          </w:p>
        </w:tc>
      </w:tr>
      <w:tr w:rsidR="009C34DB">
        <w:trPr>
          <w:trHeight w:val="273"/>
        </w:trPr>
        <w:tc>
          <w:tcPr>
            <w:tcW w:w="27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финансового органа</w:t>
            </w:r>
          </w:p>
        </w:tc>
        <w:tc>
          <w:tcPr>
            <w:tcW w:w="3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Чемальский район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9C34DB">
            <w:pPr>
              <w:rPr>
                <w:sz w:val="24"/>
              </w:rPr>
            </w:pPr>
          </w:p>
        </w:tc>
      </w:tr>
      <w:tr w:rsidR="009C34DB">
        <w:trPr>
          <w:trHeight w:val="273"/>
        </w:trPr>
        <w:tc>
          <w:tcPr>
            <w:tcW w:w="27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по БК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092</w:t>
            </w:r>
          </w:p>
        </w:tc>
      </w:tr>
      <w:tr w:rsidR="009C34DB">
        <w:trPr>
          <w:trHeight w:val="273"/>
        </w:trPr>
        <w:tc>
          <w:tcPr>
            <w:tcW w:w="27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Бюджет муниципальных образований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по ОКТМО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84643000</w:t>
            </w:r>
          </w:p>
        </w:tc>
      </w:tr>
      <w:tr w:rsidR="009C34DB">
        <w:trPr>
          <w:trHeight w:val="273"/>
        </w:trPr>
        <w:tc>
          <w:tcPr>
            <w:tcW w:w="27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Периодичность: </w:t>
            </w:r>
          </w:p>
        </w:tc>
        <w:tc>
          <w:tcPr>
            <w:tcW w:w="3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месячная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34DB">
        <w:trPr>
          <w:trHeight w:val="356"/>
        </w:trPr>
        <w:tc>
          <w:tcPr>
            <w:tcW w:w="27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измерения: </w:t>
            </w:r>
          </w:p>
        </w:tc>
        <w:tc>
          <w:tcPr>
            <w:tcW w:w="3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по ОКЕИ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</w:t>
            </w:r>
          </w:p>
        </w:tc>
      </w:tr>
    </w:tbl>
    <w:p w:rsidR="009C34DB" w:rsidRDefault="00B375F4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ind w:firstLine="700"/>
        <w:jc w:val="center"/>
        <w:rPr>
          <w:color w:val="000000"/>
        </w:rPr>
      </w:pPr>
      <w:r>
        <w:rPr>
          <w:rFonts w:ascii="Calibri" w:eastAsia="Calibri" w:hAnsi="Calibri" w:cs="Calibri"/>
          <w:color w:val="FF0000"/>
          <w:sz w:val="28"/>
          <w:szCs w:val="28"/>
        </w:rPr>
        <w:t> </w:t>
      </w:r>
    </w:p>
    <w:p w:rsidR="009C34DB" w:rsidRDefault="00B375F4">
      <w:pPr>
        <w:ind w:firstLine="700"/>
        <w:jc w:val="center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Пояснительная записка</w:t>
      </w:r>
    </w:p>
    <w:p w:rsidR="009C34DB" w:rsidRDefault="00B375F4">
      <w:pPr>
        <w:ind w:firstLine="700"/>
        <w:jc w:val="center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к годовому отчету об исполнении консолидированного бюджета МО «Чемальский район» за 2025 год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700"/>
        <w:jc w:val="center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1. Анализ исполнения доходной части бюджета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Уточненные плановые назначения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по налоговым и неналоговым доходам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консолидированного бюджета МО «Чемальский район»   на 2025 год  в размере 476300,7 тыс. рублей исполнены на 99,2 %, что в сумме составило  472357,2 тыс.рублей. 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Фактическое поступление налоговых и неналоговых доходов консолидированного бюджета МО «Чемальский район» в 2025 году на 42,5 % или на 140940,0 тыс. рублей </w:t>
      </w:r>
      <w:r>
        <w:rPr>
          <w:rFonts w:ascii="Calibri" w:eastAsia="Calibri" w:hAnsi="Calibri" w:cs="Calibri"/>
          <w:i/>
          <w:color w:val="000000"/>
          <w:sz w:val="28"/>
          <w:szCs w:val="28"/>
        </w:rPr>
        <w:t xml:space="preserve">больше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поступлений 2024 года. 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Анализ исполнения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налоговых доходов </w:t>
      </w:r>
      <w:r>
        <w:rPr>
          <w:rFonts w:ascii="Calibri" w:eastAsia="Calibri" w:hAnsi="Calibri" w:cs="Calibri"/>
          <w:color w:val="000000"/>
          <w:sz w:val="28"/>
          <w:szCs w:val="28"/>
        </w:rPr>
        <w:t>консолидированного бюджета МО «Чемальский район» за 2025 год в сравнении с аналогичным периодом прошлого года представлен в следующей таблице: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tbl>
      <w:tblPr>
        <w:tblW w:w="0" w:type="auto"/>
        <w:tblInd w:w="-572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2316"/>
        <w:gridCol w:w="1338"/>
        <w:gridCol w:w="1033"/>
        <w:gridCol w:w="1033"/>
        <w:gridCol w:w="923"/>
        <w:gridCol w:w="1325"/>
        <w:gridCol w:w="1442"/>
        <w:gridCol w:w="1352"/>
      </w:tblGrid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Наименование доходов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Уточненный годовой план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Факт за 2024 год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Факт за 2025 год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Темп роста, 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Отклонение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Доля поступлений, % </w:t>
            </w:r>
          </w:p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% выполнения плана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Налоговые и неналоговые  доходы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476300,7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331417,2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472357,2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142,5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140940,0</w:t>
            </w:r>
          </w:p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99,2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Налоговые доходы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367761,1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249725,9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366284,4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146,7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116558,5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77,5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99,6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 на доходы физических лиц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226006,5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148690,5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219994,2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148,0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71303,7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60,1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97,3</w:t>
            </w:r>
          </w:p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Акцизы на нефтепродукты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7977,5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7705,4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7875,8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102,2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170,4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98,7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Туристический налог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20560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19588,3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19588,3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5,3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95,3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Налоги на совокупный доход, в т.ч.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Единый налог на вмененный доход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6,7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15,1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6,8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45,0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-8,3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101,5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Единый сельскохозяйственный налог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41,3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44,8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27,7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61,8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-17,1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67,1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8791,1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6412,7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12182,2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190,0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5769,5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3,3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138,6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Налоги на имущество, в т.ч: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 на имущество физических лиц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12981,9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5621,6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13499,3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240,1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7877,7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3,7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104,0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 на имущество организаций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33000,0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23688,0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32310,1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136,4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8622,1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8,8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97,9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Земельный налог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47021,1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52055,5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48834,9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93,8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-3220,6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13,3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103,9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 на добычу полезных ископаемых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3700,0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1462,4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4149,4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283,7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2687,0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112,1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Сборы за пользование объектами животного мира 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0,02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4,5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22500,0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4,48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Государственная пошлина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7675,0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4029,8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7815,5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193,9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3785,7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101,8</w:t>
            </w:r>
          </w:p>
        </w:tc>
      </w:tr>
    </w:tbl>
    <w:p w:rsidR="009C34DB" w:rsidRDefault="00B375F4">
      <w:pPr>
        <w:ind w:firstLine="70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>Причины, оказавшие влияние на фактическое поступление налоговых доходов в консолидированный бюджет МО «Чемальский» район в 2025 году в разрезе доходных источников: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НДФЛ: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>Доля поступлений в 2025 году в общем объеме налоговых доходов составила 60,1 %. Отклонение от аналогичного периода прошлого года составило 71303, тыс. рублей (темп роста 148,0 %).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Увеличение налогооблагаемой базы, в связи с чем рост поступлений по основным налогоплательщикам: ООО "Клевер на 5259,6 тыс. рублей (01.01.2026 г. - 10330,5 тыс. рублей, 01.01.2025 г. - 5070,9 тыс. рублей), ООО "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Феодон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>" на 2503,9 тыс. рублей (01.01.2026 г. - 4128,9 тыс. рублей, 01.01.2025 г. - 1625,0 тыс. рублей), ООО "Бадан" на 3035,3 тыс. рублей (01.01.2026 г. - 4023,5 тыс. рублей, 01.01.2025 г. - 988,2 тыс. рублей), ООО "Новое место" на 2009,7 тыс. рублей (01.01.2026 г. - 2665,1 тыс. рублей, 01.01.2025 г. - 655,4 тыс. рублей), ООО "Альянс" на 1442,5 тыс. рублей (01.01.2026 г. - 2022,5 тыс. рублей ,01.01.2025 г. - 580,0 тыс. рублей), ФГБУ ТС "Чемал" Минздрава России на 1647,1 тыс. рублей (01.01.2026 г. - 8228,6 тыс. рублей, 01.01.2025 г. -   6581,5 тыс. рублей). Общая сумма уплаченного налога основными налогоплательщиками - 31399,1 тыс. рублей.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2) Увеличение МРОТ с 01.01.2025 - с 19242 до 22440 рублей.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3) Увеличение с 01.01.2025 год заработной платы федеральным государственным служащим на 4%.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4) Поступление "разового" платежа по декларации 3-НДФЛ от физического лица в сумме 40393,5 тыс. рублей.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Плановые назначения по налогу выполнены на 97,3 %. Причина невыполнения плановых назначений: наличие задолженности по налогу на 01.01.2026 г. - 6931,2 тыс. рублей.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2,2 %. Отклонение от аналогичного периода прошлого года составило 170,4 тыс. рублей (темп роста  102,2 %).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Изменение нормативов отчислений акцизов на нефтепродукты на 2025-2027 годы.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Туристический налог: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5,3 %. Отклонение от аналогичного периода прошлого года составило 19588,3 тыс. рублей (темп роста 0 %).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Введение туристического налога с 01.01.2025 года Федеральным законом от 12.07.2024 г. № 176-ФЗ "О внесении изменений в части первую и вторую Налогового кодекса Российской Федерации".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95,3 %.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 xml:space="preserve">Причины невыполнения плановых назначений: ожидаемое поступление больше фактического поступления.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плательщики туристического налога: ООО "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Феодон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" 3505,1 тыс. рублей, ОАО "РЖД" 1904,3 тыс. рублей, ООО "Алтай -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Премиум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>" 467,3 тыс. рублей, ООО "Клевер" 901,6 тыс. рублей, ООО "Новое место" 496,6 тыс. рублей, ООО "Теплый стан" 610,1 тыс. рублей, ООО "Тур - прогноз" 511,1 тыс. рублей.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ЕСХН: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0,01 %. Отклонение от аналогичного периода прошлого года составило 17,1 тыс. рублей (темп снижения 61,8 %).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снижения поступлений и невыполнения плановых назначений: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1)  Отсутствие поступлений от ИП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Яныканова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В.Л., в связи с наличием переплаты по состоянию на 01.01.2025 года.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67,1 %.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ПСН: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 3,3 %. Отклонение от аналогичного периода прошлого года составило 5769,5 тыс. рублей (темп роста 190,0 %).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роста поступлений: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Увеличение количества выданных патентов на 144 патента  (01.01.2026 г. - 456, 01.01.2025 г. - 312).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Плановые назначения по налогу выполнены на 138,6 %.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Причины перевыполнения плановых назначений: перенос срока уплаты патента на 29 декабря 2025 года (для патентов со сроком уплаты 31 декабря 2025 года) (ФЗ № 259-ФЗ от 08.08.2025 года "О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НИФЛ: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3,7 %. Отклонение от аналогичного периода прошлого года составило 7877,7 тыс. рублей (темп роста 240,1 %).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>Основные причины роста поступлений и перевыполнения плановых назначений: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Увеличение налоговой базы в связи с проведением кадастровой оценки всех учтенных в Едином государственном реестре  недвижимости зданий, помещений, сооружений, объектов незавершенного строительства, машина - мест на территории Республики Алтай, на основании Приказа Министерства экономического развития РА от 12.09.2023 г. № 350-ОД. Кадастровая стоимость увеличилась в 1,8 раз.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2) Оплата задолженности физическими лицами.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104,0 %.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НИО: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 8,8 %. Отклонение от аналогичного периода прошлого года составило 8622,1 тыс. рублей (темп роста 136,4 %).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Увеличение налоговой базы в связи с постановкой на учет имущества ООО "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Феодон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>" (01.01.2026 г. - 4496,0 тыс. рублей, 01.01.2025 г. - 862,0 тыс. рублей), ООО "Специализированный застройщик "Лес и горы" (01.01.2026 г. - 495,0 тыс. рублей, 01.01.2025 г. - 0,0 тыс. рублей), КУ РА "Республиканское Управление автомобильных дорог общего пользования "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Горно-АлтайАвтодор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>" (01.01.2026 г. -1303,4 тыс. рублей, 01.01.2025 г. - 608,8 тыс. рублей). 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Плановые назначения по налогу выполнены на 97,9 %.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Причина невыполнения плановых назначений: снижение налогооблагаемой базы по МДОУ детский сад "Улыбка" в связи со снятием с налогового учета объекта налогообложения в 2025 году (01.01.2026 г. - 1112,0 тыс. рублей, 01.01.2025 г. - 2158,0 тыс. рублей).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ЗН: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13,3 %. Отклонение от аналогичного периода прошлого года составило 3220,6 тыс. рублей (темп снижения 93,8 %).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снижения поступлений </w:t>
      </w:r>
      <w:r>
        <w:rPr>
          <w:rFonts w:ascii="Calibri" w:eastAsia="Calibri" w:hAnsi="Calibri" w:cs="Calibri"/>
          <w:i/>
          <w:color w:val="000000"/>
          <w:sz w:val="28"/>
          <w:szCs w:val="28"/>
        </w:rPr>
        <w:t xml:space="preserve">земельного налога с организаций: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Снижение поступлений на 15732,6 тыс. рублей ООО "Строй-система", находящегося в процедуре банкротства в 2024 году (01.01.2026 г. - 840,7 тыс. рублей, 01.01.2025 г. - 16573,3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роста поступлений </w:t>
      </w:r>
      <w:r>
        <w:rPr>
          <w:rFonts w:ascii="Calibri" w:eastAsia="Calibri" w:hAnsi="Calibri" w:cs="Calibri"/>
          <w:i/>
          <w:color w:val="000000"/>
          <w:sz w:val="28"/>
          <w:szCs w:val="28"/>
        </w:rPr>
        <w:t>земельного налога с физических лиц: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>1) Увеличение налогооблагаемой базы в связи с увеличением количества объектов налогообложения.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2) Оплата задолженности физическими лицами за прошлые периоды.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93,8%.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Причины невыполнения плановых назначений: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Рост задолженности по земельному налогу с организаций на 2695,6 тыс. рублей (01.01.2026 г. - 2696,2 тыс. рублей, 01.01.2025 г. - 0,6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2) Рост задолженности по земельному налогу с физических лиц на 1917,3 тыс. рублей (01.01.2026 г. - 5269,6 тыс. рублей, 01.01.2025 г. - 3352,3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НДПИ: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Доля поступлений в 2025 году в общем объеме налоговых доходов составила 1,1 %. Отклонение от аналогичного периода прошлого года составило 2687,0 тыс. рублей (темп роста 283,7 %). Поступление за счет общераспространенных полезных ископаемых.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роста поступлений </w:t>
      </w:r>
      <w:r>
        <w:rPr>
          <w:rFonts w:ascii="Calibri" w:eastAsia="Calibri" w:hAnsi="Calibri" w:cs="Calibri"/>
          <w:i/>
          <w:color w:val="000000"/>
          <w:sz w:val="28"/>
          <w:szCs w:val="28"/>
        </w:rPr>
        <w:t>общераспространенных полезных ископаемых: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Увеличение поступлений налогоплательщиком ООО "Строительная компания "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Че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>", в связи с началом работ по добыче полезных ископаемых (01.01.2026 г. - 2393,2 тыс. рублей, 01.01.2025 г. - 0,0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Плановые назначения по налогу выполнены на 112,1 %.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Причины выполнения плановых назначений: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рост поступлений от основных налогоплательщиков ООО "Стройиндустрия" на 209,0 тыс. рублей (01.01.2026 г. - 1428,4 тыс. рублей, 01.01.2025 г. - 1219,4 тыс. рублей), АО "ДЭП № 218" на 121,2 тыс. рублей (01.01.2026 г. - 323,3 тыс. рублей, 01.01.2025 г. - 202,1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Сборы за пользование объектами ЖМ и ВБР: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0,001 %. Отклонение от аналогичного периода прошлого года составило 4,48 тыс. рублей (темп роста 22500,0 %).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ГП: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2,1 %. Отклонение от аналогичного периода прошлого года составило 3785,7 тыс. рублей (темп роста 193,9 %).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Причина роста поступлений и перевыполнения плановых назначений: рост поступлений по госпошлине по делам, рассматриваемым в судах общей юрисдикции, мировыми судьями на 3906,4 тыс.рублей (01.01.2026 г - 7793,7 тыс. рублей, на 01.01.2025 - 3887,3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>В тоже время снижение поступлений по госпошлине за государственную регистрацию, а также совершение прочих юридически значимых действий на 120,7 тыс. рублей (01.01.2026 г. - 21,8 тыс. рублей, на 01.01.2025 г. - 142,5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101,8 %.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Анализ исполнения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неналоговых доходов </w:t>
      </w:r>
      <w:r>
        <w:rPr>
          <w:rFonts w:ascii="Calibri" w:eastAsia="Calibri" w:hAnsi="Calibri" w:cs="Calibri"/>
          <w:color w:val="000000"/>
          <w:sz w:val="28"/>
          <w:szCs w:val="28"/>
        </w:rPr>
        <w:t>консолидированного бюджета МО «Чемальский район» за 2025 год в сравнении с аналогичным периодом прошлого года представлен в следующей таблице: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</w:p>
    <w:tbl>
      <w:tblPr>
        <w:tblW w:w="0" w:type="auto"/>
        <w:tblInd w:w="-572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2325"/>
        <w:gridCol w:w="1361"/>
        <w:gridCol w:w="1050"/>
        <w:gridCol w:w="1050"/>
        <w:gridCol w:w="785"/>
        <w:gridCol w:w="1348"/>
        <w:gridCol w:w="1467"/>
        <w:gridCol w:w="1376"/>
      </w:tblGrid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Наименование доходов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Уточненный годовой план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Факт за 2024 год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Факт за 2025 год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Темп роста, %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Отклонение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Доля поступлений, % </w:t>
            </w:r>
          </w:p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% выполнения плана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Налоговые и неналоговые  доходы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476300,7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331417,2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472357,2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142,5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140940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99,2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Неналоговые доходы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108539,6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81691,3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106072,9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129,8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24381,6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22,5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97,7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63130,9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37233,6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64799,8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174,0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27566,2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61,1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102,6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710,0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623,3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709,0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113,7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85,7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0,7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99,9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Доходы от оказания платных услуг (работ) и компенсации затрат государством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225,0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250,7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257,5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102,7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6,8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0,2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114,4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39583,7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41747,5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35310,7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84,6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-6436,8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33,3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89,2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Штрафы, санкции, возмещение ущерба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4890,0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1889,1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4974,7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263,3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3085,6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4,7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101,7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Прочие неналоговые доходы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-53,0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21,2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-40,0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74,2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0,02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</w:tr>
    </w:tbl>
    <w:p w:rsidR="009C34DB" w:rsidRDefault="00B375F4">
      <w:pPr>
        <w:ind w:firstLine="70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lastRenderedPageBreak/>
        <w:t>Причины, оказавшие влияние на фактическое поступление неналоговых доходов в консолидированный бюджет МО «Чемальский» район в 2025 году в разрезе доходных источников: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Доходы от использования имущества, находящегося в государственной и муниципальной собственности: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61,1 %. Отклонение от аналогичного периода прошлого года составило 27566,2 тыс. рублей (темп роста 174,0 %).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Рост поступлений обеспечен: за счет доходов от аренды земельных участков на 25559,1 тыс. рублей, темп роста 73,2 %.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роста поступлений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доходов от аренды земельных участков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Рост поступлений по муниципальному району, в связи с  поступлением по заключенным 24 договорам аренды (по аукциону) на сумму 39 417,1 тыс. рублей по муниципальному району и проведенной претензионной работы в течение года.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tbl>
      <w:tblPr>
        <w:tblW w:w="990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1662"/>
        <w:gridCol w:w="1453"/>
        <w:gridCol w:w="1696"/>
        <w:gridCol w:w="1695"/>
        <w:gridCol w:w="1698"/>
        <w:gridCol w:w="1696"/>
      </w:tblGrid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Кол-во договоров по которым начислены платежи к уплате в 2025 году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начисленных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уплаченных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Кол-во договоров по которым начислены платежи к уплате в 2024 году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начисленных арендных платежей за 2024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уплаченных арендных платежей за 2024 год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64174,1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58744,0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599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25829,8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21499,3</w:t>
            </w:r>
          </w:p>
        </w:tc>
      </w:tr>
    </w:tbl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Плановые назначения по налогу выполнены на 102,6 %.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Причины перевыполнения плановых назначений: оплата по претензионным письмам, направленным в 3,4 квартале 2025 г.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Задолженность по арендной плате за земельные участки по состоянию на 01.01.2026 года составляет 5430,1 тыс. рублей по отношению к 01.01.2025 года отмечен рост задолженности на 1099,6 тыс. рублей.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Причина роста задолженности: не оплачена задолженность арендаторами прошлого периода и  подан иск в суд на взыскание задолженности в сумме  1599,8 тыс. рублей.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Меры принятые по снижению задолженности: проведение в течение года претензионной работы по задолженности, начисление арендной платы в системе ГИС ГМП, индивидуальная работа с арендаторами.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 xml:space="preserve">В тоже время снижение поступлений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Чепошскому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 поселению на 9507,5 тыс. рублей:</w:t>
      </w:r>
    </w:p>
    <w:tbl>
      <w:tblPr>
        <w:tblW w:w="990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1635"/>
        <w:gridCol w:w="1566"/>
        <w:gridCol w:w="1674"/>
        <w:gridCol w:w="1664"/>
        <w:gridCol w:w="1687"/>
        <w:gridCol w:w="1674"/>
      </w:tblGrid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Кол-во договоров по которым начислены платежи к уплате в 2025 году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начисленных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уплаченных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Кол-во договоров по которым начислены платежи к уплате в 2024 году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начисленных арендных платежей за 2024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уплаченных арендных платежей за 2024 год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1548,9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1548,9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11056,4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11056,4</w:t>
            </w:r>
          </w:p>
        </w:tc>
      </w:tr>
    </w:tbl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Снижение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Элекмонарскому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сельскому поселению на 2165,9 тыс. рублей:</w:t>
      </w:r>
    </w:p>
    <w:tbl>
      <w:tblPr>
        <w:tblW w:w="990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1635"/>
        <w:gridCol w:w="1566"/>
        <w:gridCol w:w="1674"/>
        <w:gridCol w:w="1664"/>
        <w:gridCol w:w="1687"/>
        <w:gridCol w:w="1674"/>
      </w:tblGrid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Кол-во договоров по которым начислены платежи к уплате в 2025 году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начисленных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уплаченных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Кол-во договоров по которым начислены платежи к уплате в 2024 году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начисленных арендных платежей за 2024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уплаченных арендных платежей за 2024 год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2190,6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2190,6</w:t>
            </w:r>
          </w:p>
        </w:tc>
      </w:tr>
    </w:tbl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снижения поступлений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доходов от аренды имущества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снижение поступлений по договорам на установку рекламной конструкции на 303,9 тыс. рублей (01.01.2026 г. - 1098,1 тыс. рублей, 01.01.2025 г. - 1402,0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tbl>
      <w:tblPr>
        <w:tblW w:w="990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1662"/>
        <w:gridCol w:w="1453"/>
        <w:gridCol w:w="1696"/>
        <w:gridCol w:w="1695"/>
        <w:gridCol w:w="1698"/>
        <w:gridCol w:w="1696"/>
      </w:tblGrid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Кол-во договоров по которым начислены платежи к уплате в 2025 году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начисленных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уплаченных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Кол-во договоров по которым начислены платежи к уплате в 2024 году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начисленных арендных платежей за 2024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уплаченных арендных платежей за 2024 год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1835,4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1098,1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1402,0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1402,0</w:t>
            </w:r>
          </w:p>
        </w:tc>
      </w:tr>
    </w:tbl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92,8%.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Причины невыполнения плановых назначений: наличие задолженности на 01.01.2026 г. по договорам на установку рекламной конструкции на сумму 87,3 тыс. рублей.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Задолженность по арендной плате за использование имущества по состоянию на 01.01.2026 года составляет 87,3 тыс. рублей. По отношению к 01.01.2025 года отмечен рост задолженности на 87,3 тыс. рублей. Причина роста </w:t>
      </w: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 xml:space="preserve">задолженности: отсутствие оплаты в 2025 году по 3 договорам на установку рекламной конструкции.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i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Платежи при пользовании природными ресурсами: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0,7 %. Отклонение от аналогичного периода прошлого года составило 85,7 тыс. рублей (темп роста 113,7 %).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поступлений, а также перевыполнения плановых назначений: увеличение поступлений основных налогоплательщиков ОАО "РЖД" на 39,6 тыс. рублей (01.01.2026 г. - 40,8 тыс. рублей, 01.01.2025 г. - 1,2 тыс. рублей), ООО "АСК"  на 20,8 тыс. рублей (01.01.2026 г. - 20,8 тыс. рублей, 01.01.2025г. - 0,0 тыс. рублей), ООО "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Карина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- Сервис" на 23,1 тыс. рублей (01.01.2026 г. - 23,3 тыс. рублей, 01.01.2025 г. - 0,2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Доходы от оказания платных услуг и компенсации затрат государства: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0,2 %. Отклонение от аналогичного периода прошлого года составило 6,8 тыс. рублей (темп роста 102,7 %).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Рост поступлений обеспечен: за счет доходов от оказания платных услуг на 10,9 тыс. рублей, темп роста 128,3 %.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роста поступлений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по доходам от оказания платных услуг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и перевыполнения плановых назначений: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1) увеличение поступлений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Чемальскому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сельскому поселению на 10,9 тыс. рублей.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114,4 %. 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b/>
          <w:i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Доходы от продажи материальных и нематериальных активов: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33,3 %. Отклонение от аналогичного периода прошлого года составило 6436,8 тыс. рублей (темп снижения 84,6 %).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Снижение поступлений обеспечено за счет доходов от продажи земельных участков на 6300,9 тыс. рублей, темп снижения 84,9 %.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снижения поступлений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доходов от продажи земельных участков: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1) Снижение поступлений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Чемальскому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сельскому поселению на 16088,0 тыс. рублей,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Чепошскому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сельскому поселению на 6670,1 тыс. рублей. 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В тоже время рост поступлений по муниципальному району на 10544,4 тыс. рублей, в связи с увеличением выкупной  цены земельных участков с 25% до 100% </w:t>
      </w: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 xml:space="preserve">при заключении договора купли-продажи без проведения торгов (Решение Совета депутатов Чемальского района № 5-79 от 23.10.2025 года). и рост поступлений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Элекмонарскому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сельскому поселению на 5709,8 тыс. рублей, в связи с выкупом земельного участка, находящегося в аренде.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tbl>
      <w:tblPr>
        <w:tblW w:w="9465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1685"/>
        <w:gridCol w:w="1698"/>
        <w:gridCol w:w="1980"/>
        <w:gridCol w:w="1698"/>
        <w:gridCol w:w="2404"/>
      </w:tblGrid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Кол-во договоров за 2025 год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продажи по договорам 2025 года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Кол-во договоров за 2024 год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продажи по договорам 2024 года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МР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17443,9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6899,5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Чемальское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СП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12690,4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28778,4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Элекмонарское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СП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8561,5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167,3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Чепошское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СП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5182,6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38695,8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41027,8</w:t>
            </w:r>
          </w:p>
        </w:tc>
      </w:tr>
    </w:tbl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89,2 %.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Возврат по решению суда за земельные участки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Чепошскому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сельскому поселению на сумму 3782,2 тыс. рублей.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Штрафы, санкции, возмещение ущерба: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4,7 %. Отклонение от аналогичного периода прошлого года составило 3085,6 тыс. рублей (темп роста 263,3 %).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 и перевыполнения плановых назначений: рост поступлений по платежам, уплачиваемых в целях возмещения ущерба на 3924,2 тыс. рублей (на 01.01.2026 г. - 4221,9 тыс. рублей, на 01.01.2025 г. - 297,7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В тоже время  снижение поступлений по административным штрафам, установленных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саморегулируемых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организаций на 25,0 тыс. рублей (на 01.01.2026 г. - 13,0 тыс. рублей, на 01.01.2025 г. - 38,0 тыс. рублей);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- снижение поступлений по административным штрафам, установленных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 на 9,9 тыс. рублей (на 01.01.2026 г. - 74,7 тыс.рублей, на 01.01.2025 г. - 84,6 тыс. рублей);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>- снижение поступлений по платежам, уплачиваемые в целях возмещения вреда на 195,9 тыс. рублей (на 01.01.2026 г. - 270,0 тыс. рублей, на 01.01.2025 г. - 465,9 тыс. рублей);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- снижение поступлений по иным штрафам, неустойкам, пеням, уплаченных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 на 463,7 тыс. рублей (на 01.01.2026 г. - 0,0 тыс. рублей, на 01.01.2025 г. - 463,7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101,7 %.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Прочие неналоговые: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0,02 %. Отклонение от аналогичного периода прошлого года составило 74,2 тыс. рублей (темп снижения -40,0%).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поступлений: невыясненные поступления по сельским поселениям.</w:t>
      </w:r>
    </w:p>
    <w:p w:rsidR="009C34DB" w:rsidRDefault="00B375F4">
      <w:pPr>
        <w:jc w:val="center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2. Анализ дефицита бюджета и муниципального долга муниципального района (городского округа)</w:t>
      </w:r>
    </w:p>
    <w:p w:rsidR="009C34DB" w:rsidRDefault="00B375F4">
      <w:pPr>
        <w:ind w:firstLine="720"/>
        <w:jc w:val="right"/>
        <w:rPr>
          <w:color w:val="000000"/>
        </w:rPr>
      </w:pPr>
      <w:r>
        <w:rPr>
          <w:rFonts w:ascii="Calibri" w:eastAsia="Calibri" w:hAnsi="Calibri" w:cs="Calibri"/>
          <w:color w:val="000000"/>
        </w:rPr>
        <w:t>тыс. руб.</w:t>
      </w:r>
    </w:p>
    <w:tbl>
      <w:tblPr>
        <w:tblW w:w="9360" w:type="dxa"/>
        <w:tblInd w:w="-1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5531"/>
        <w:gridCol w:w="1844"/>
        <w:gridCol w:w="1985"/>
      </w:tblGrid>
      <w:tr w:rsidR="009C34DB">
        <w:trPr>
          <w:trHeight w:val="458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Утверждено решением о бюджете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Фактическое исполнение за 2025 год</w:t>
            </w:r>
          </w:p>
        </w:tc>
      </w:tr>
      <w:tr w:rsidR="009C34DB">
        <w:trPr>
          <w:trHeight w:val="235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Дефицит бюджета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128095,3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0,0</w:t>
            </w:r>
          </w:p>
        </w:tc>
      </w:tr>
      <w:tr w:rsidR="009C34DB">
        <w:trPr>
          <w:trHeight w:val="458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Источники внутреннего финансирования  дефицитов бюджетов: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</w:tr>
      <w:tr w:rsidR="009C34DB">
        <w:trPr>
          <w:trHeight w:val="487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</w:tr>
      <w:tr w:rsidR="009C34DB">
        <w:trPr>
          <w:trHeight w:val="301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3337,1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</w:tr>
      <w:tr w:rsidR="009C34DB">
        <w:trPr>
          <w:trHeight w:val="547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rPr>
          <w:trHeight w:val="465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</w:tr>
      <w:tr w:rsidR="009C34DB">
        <w:trPr>
          <w:trHeight w:val="840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rPr>
          <w:trHeight w:val="840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rPr>
          <w:trHeight w:val="70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854499,8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-1416,2</w:t>
            </w:r>
          </w:p>
        </w:tc>
      </w:tr>
      <w:tr w:rsidR="009C34DB">
        <w:trPr>
          <w:trHeight w:val="387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rPr>
          <w:trHeight w:val="387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Отношение размера дефицита к годовому объему доходов бюджета муниципального образования без учета объема безвозмездных поступлений, в %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9C34DB" w:rsidRDefault="00B375F4">
      <w:pPr>
        <w:ind w:firstLine="72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9C34DB" w:rsidRDefault="00B375F4">
      <w:pPr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tbl>
      <w:tblPr>
        <w:tblW w:w="9360" w:type="dxa"/>
        <w:tblInd w:w="-1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5531"/>
        <w:gridCol w:w="1844"/>
        <w:gridCol w:w="1985"/>
      </w:tblGrid>
      <w:tr w:rsidR="009C34DB">
        <w:trPr>
          <w:trHeight w:val="199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Утверждено решением о бюджете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rFonts w:ascii="Calibri" w:eastAsia="Calibri" w:hAnsi="Calibri" w:cs="Calibri"/>
                <w:color w:val="000000"/>
              </w:rPr>
              <w:t>Фактическое исполнение за 2025 год</w:t>
            </w:r>
          </w:p>
        </w:tc>
      </w:tr>
      <w:tr w:rsidR="009C34DB">
        <w:trPr>
          <w:trHeight w:val="199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Объем муниципального долга, тыс. руб.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rPr>
          <w:trHeight w:val="1054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Отношение объема муниципального долга к годовому объему доходов бюджета муниципального образования без учета объема безвозмездных поступлений, в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</w:tr>
    </w:tbl>
    <w:p w:rsidR="009C34DB" w:rsidRDefault="00B375F4">
      <w:pPr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p w:rsidR="009C34DB" w:rsidRDefault="00B375F4">
      <w:pPr>
        <w:spacing w:line="276" w:lineRule="auto"/>
        <w:jc w:val="center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РАСХОДЫ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2025 году бюджет муниципального образования "Чемальский район" сохранил социальную направленность налоговой и бюджетной политики. Главными распорядителями, бюджетными и автономными учреждениями проводилась работа по реализации ведомственных планов оптимизации бюджетных расходов, продолжается работа по формированию расходов в соответствии с принципами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ориентированного на результат, в связи с этим реализуются муниципальные целевые программы  и проводится оценка эффективности их реализации. Основными направлениям расходов консолидированного бюджета муниципального образования"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Чемальскй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" в 2025году явились расходы на :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оплаты труда работникам бюджетной сферы , обеспечение платежей в бюджет;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Оказание мер социальной поддержки льготной категории граждан, в том числе меры по оказанию социальной поддержки участникам специальной военной операции и их семей;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Представление муниципальных услуг в соответствии со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ситандартами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качества для повышения степени удовлетворенности  и качество жизни населения Чемальского района ;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Осуществление закупок и бюджетных инвестиций в рамках реализации национальных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ппроектов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 инфраструктуры для развития туризма, капитальный ремонт  детских дошкольных образовательных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учреждений,текущий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ремонт учреждений образования.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Расходы консолидированного бюджета Чемальского района осуществляются в программном формате. Формирование бюджетов в программном формате позволяет обеспечить взаимосвязь  использованных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бюджетных средств с достигнутыми результатами и повысить эффективность бюджетных расходов .</w:t>
      </w:r>
    </w:p>
    <w:p w:rsidR="009C34DB" w:rsidRDefault="00B375F4">
      <w:pPr>
        <w:spacing w:line="276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Расходы муниципального образования  составили  1104409,1 тыс. рублей, что составляет 94,3 % к годовому плану  (1170903,7 тыс. рублей). </w:t>
      </w:r>
    </w:p>
    <w:p w:rsidR="009C34DB" w:rsidRDefault="00B375F4">
      <w:pPr>
        <w:spacing w:line="276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Доля программных расходов составила 94,9% (исполнено в сумме 849179,3 тыс. рублей, при плане 873778,5 тыс. рублей),  реализация которых осуществлялась в рамках 4 муниципальных программ.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структуре расходов местного бюджета наибольший удельный вес приходится на следующие разделы: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-образование в сумме 630397,9 тыс. рублей или 57,1%;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-жилищно-коммунальное хозяйство в сумме 221919,7 тыс. рублей или 20,1%;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общегосударственные вопросы в сумме 92869,9 тыс. рублей или 8,4%;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-культура и кинематография в сумме 83135,9 тыс. рублей или 7,5%;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-межбюджетные трансферты в сумме 34464,6 тыс. рублей или 3,1%.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-национальная экономика в сумме 18892,9 тыс. рублей или 1,7%;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-физическая культура и спорт в сумме 11177,8 тыс. рублей или 1,0%;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-средства массовой информации в сумме 5782,0 тыс. рублей или 0,5%.</w:t>
      </w:r>
    </w:p>
    <w:p w:rsidR="009C34DB" w:rsidRDefault="00B375F4">
      <w:p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общих расходов бюджета 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615311,0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тыс. рублей или 55,7 %, направлено на оплату труда с начислением работников бюджетной сферы, рост по сравнению с 2024 годом  составил 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84772,4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тыс. рублей (ФОТ 2024г.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530538,6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тыс. рублей), или 116,0%.</w:t>
      </w:r>
    </w:p>
    <w:p w:rsidR="009C34DB" w:rsidRDefault="00B375F4">
      <w:p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</w:p>
    <w:p w:rsidR="009C34DB" w:rsidRDefault="00B375F4">
      <w:pPr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</w:p>
    <w:p w:rsidR="009C34DB" w:rsidRDefault="00B375F4">
      <w:pP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РАЗДЕЛ  4 «АНАЛИЗ ПОКАЗАТЕЛЕЙ БУХГАЛТЕРСКОЙ ОТЧЕТНОСТИ СУБЪЕКТА БЮДЖЕТНОЙ ОТЧЕТНОСТИ»</w:t>
      </w:r>
    </w:p>
    <w:p w:rsidR="009C34DB" w:rsidRDefault="00B375F4">
      <w:p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Консолидированный бюджет муниципального образования" Чемальский район " в 2025году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исполнен по доходам в сумме 1233759883,58 рублей или 102,4% к уточненному плану в сумме 508540804,73 рублей, в том числе налоговые и неналоговые доходы исполнены в сумме 472357222,85 рублей  или 99,2 % к уточненному плану в сумме 476300747,00 рублей .</w:t>
      </w:r>
    </w:p>
    <w:p w:rsidR="009C34DB" w:rsidRDefault="00B375F4">
      <w:pPr>
        <w:ind w:firstLine="72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 муниципального образования Чемальский район в 2025году исполнен в сумме 1115842957,55 или на 99,9 к уточненному плану в сумме 1116371294,90 рублей . в том числе налоговые и неналоговые доходы исполнены в сумме357081823,99 рублей или на 100% 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уточненому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плану в сумме 357031156,00рублей.</w:t>
      </w:r>
    </w:p>
    <w:p w:rsidR="009C34DB" w:rsidRDefault="00B375F4">
      <w:pPr>
        <w:ind w:left="720" w:firstLine="72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left="720" w:firstLine="720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РАЗДЕЛ 5 "Прочие вопросы деятельности субъекта бюджетной отчетности"</w:t>
      </w:r>
    </w:p>
    <w:p w:rsidR="009C34DB" w:rsidRDefault="00B375F4">
      <w:pPr>
        <w:ind w:left="720" w:firstLine="720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 </w:t>
      </w:r>
    </w:p>
    <w:p w:rsidR="009C34DB" w:rsidRDefault="00B375F4">
      <w:pPr>
        <w:ind w:left="720" w:firstLine="720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 </w:t>
      </w:r>
    </w:p>
    <w:p w:rsidR="009C34DB" w:rsidRDefault="00B375F4">
      <w:pPr>
        <w:ind w:left="720" w:firstLine="720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 </w:t>
      </w:r>
    </w:p>
    <w:p w:rsidR="009C34DB" w:rsidRDefault="00B375F4">
      <w:pPr>
        <w:ind w:left="720" w:firstLine="720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Пояснения, требуемые в протоколах контроля отчетности</w:t>
      </w:r>
    </w:p>
    <w:p w:rsidR="009C34DB" w:rsidRDefault="00B375F4">
      <w:pPr>
        <w:ind w:left="720" w:firstLine="720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9C34DB" w:rsidRDefault="00B375F4">
      <w:pPr>
        <w:shd w:val="clear" w:color="auto" w:fill="FFFFFF"/>
        <w:spacing w:after="120"/>
        <w:ind w:firstLine="720"/>
        <w:jc w:val="both"/>
        <w:rPr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Внутридокументный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контроль</w:t>
      </w:r>
    </w:p>
    <w:p w:rsidR="009C34DB" w:rsidRDefault="00B375F4">
      <w:pPr>
        <w:shd w:val="clear" w:color="auto" w:fill="FFFFFF"/>
        <w:spacing w:after="1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9C34DB" w:rsidRDefault="00B375F4">
      <w:pPr>
        <w:shd w:val="clear" w:color="auto" w:fill="FFFFFF"/>
        <w:spacing w:after="120"/>
        <w:ind w:firstLine="7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Форма 0503320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наличие отрицательного значения в сумме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40 156,25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руб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отражается сальдо на начало года поясняется уточнением невыясненных платежей прошлых лет , которые в учете отражаются в отрицательном значении. Сальдо на конец года отсутствует.</w:t>
      </w:r>
    </w:p>
    <w:p w:rsidR="009C34DB" w:rsidRDefault="00B375F4">
      <w:pPr>
        <w:shd w:val="clear" w:color="auto" w:fill="FFFFFF"/>
        <w:spacing w:after="1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пояснения по отрицательным показателям в сумме "минус"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569 668,37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руб., по строке 093 отражены операции от реализации активов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основных средств, нематериальных активов,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непроизведённых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активов, материальных запасов, иных</w:t>
      </w:r>
      <w:bookmarkStart w:id="0" w:name="_dx_frag_EndFragment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оборотных активов учреждений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отделу образования Администрации Чемальского района.</w:t>
      </w:r>
    </w:p>
    <w:p w:rsidR="009C34DB" w:rsidRDefault="00B375F4">
      <w:pPr>
        <w:shd w:val="clear" w:color="auto" w:fill="FFFFFF"/>
        <w:spacing w:after="120"/>
        <w:ind w:firstLine="7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 строке 093  формы отражены показатели в сумме "минус"                      547 994,78 руб. отражена переоценка кадастровой стоимости земельных участков </w:t>
      </w:r>
      <w:bookmarkStart w:id="1" w:name="_dx_frag_StartFragment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сельских поселений .</w:t>
      </w:r>
    </w:p>
    <w:p w:rsidR="009C34DB" w:rsidRDefault="00B375F4">
      <w:pPr>
        <w:shd w:val="clear" w:color="auto" w:fill="FFFFFF"/>
        <w:spacing w:after="120"/>
        <w:ind w:firstLine="7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0503368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строке 560  отражены вложения в объекты муниципальной казны в сумме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4 198 320.00 руб.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Согласно решения суда приобретена однокомнатная квартира для инвалида детства в с.Чемал, по ул. Молодежная 11/3 . Имущество отражено капитальными вложениями в объекты муниципальной казны, по причине несвоевременного оформления документов по передаче в собственность(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собственик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жилья находился на лечении в госпитале).</w:t>
      </w:r>
    </w:p>
    <w:p w:rsidR="009C34DB" w:rsidRDefault="00B375F4">
      <w:pPr>
        <w:shd w:val="clear" w:color="auto" w:fill="FFFFFF"/>
        <w:spacing w:after="120"/>
        <w:ind w:firstLine="7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0503369 БК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счету 30301001, кредитовый остаток в суммах            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15 132,00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рубля 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910,00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рублей установлен по причине некорректного оформления платежных документов на перечисление, платежи производились в последний рабочий день 30 декабря 2025г. От УФК получен протокол ошибок, исправление которых текущим годом было не возможно.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Задолженость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уплате подоходного налога перечислена 15 января 2026года .</w:t>
      </w:r>
    </w:p>
    <w:p w:rsidR="009C34DB" w:rsidRDefault="00B375F4">
      <w:pPr>
        <w:jc w:val="both"/>
        <w:rPr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Междокументный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контроль:</w:t>
      </w:r>
    </w:p>
    <w:p w:rsidR="009C34DB" w:rsidRDefault="00B375F4">
      <w:p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0503371 с формой 410Gm, 0503790,0503373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отражена разница по расчетам с учредителями   в сумме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24 054 591,96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по коду 11109000000140110172 по причине того что, в соответствии с приказом Министерства экономического развития Республики Алтай  № 328-ОД от 11.11.2022г. и распоряжения Главы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Чемальского района от №43-р от 03 февраля 2025г.проведена переоценка муниципального имущества и отражены поступления от переоценки имущества казны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оприходования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безхозного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имущества по Администрации района и сельскими поселениями района.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0503320 с формой 410Gm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строка баланса 070 начало и конец, предупреждение в сумме  1 684 844 712,97 руб., в течении финансового 2025 года, в соответствии с приказом Министерства экономического развития Республики Алтай  № 328-ОД от 11.11.2022г. и распоряжения Главы Чемальского района от 03 февраля 2025г. № 32-р проводилась переоценка имущества казны по земельным участкам   собственник которого  еще не определен по муниципальному образованию "Чемальский район" и сельскими поселениями Чемальского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района,а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также проведена переоценка    по переданным и   полученным земельным участкам . 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0503320 с формой 0503317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справки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забалансовому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счету 19, дает ошибку на сальдо на начало года, платежей по невыясненным поступлениям за 2025год нет, поэтому в форме отчетности 0503317 не отражаются.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0503369 с формой 0503769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предупреждение по счету 130/40140131 отражены сумма остатка денежных средств по муниципальному заданию   по бюджетным и автономным учреждениям на начало года в сумме          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2 285 253,23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руб. на конец отчетного года в сумме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17 346 437,97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руб., наличие остатка по счетам бюджетного учета по данным учредителя невозможно, по причине выполнения муниципального задания в полном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обьеме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(экономия).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ПР-1313 с формой 0503369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расхождение в сумме 6 547 228,64 руб.., поясняется следующими причинами в форме ПР-1313 отражены сумму штрафов по которым приняты судебные решения и оплачены в течении отчетного года. Доходы по счетам 1 205 21, 1 205 23, 1 209 36, 1 205 45 отраженные в форме 0503369 начислены согласно договоров аренды, решений комиссий и протоколов заседаний , оплата производится согласно графика гашения и согласованных(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скоректированных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сроков оплаты. Только в случае злостных и долговременных сроков не уплаты платежей и длительной претензионной работы( телефонные звонки и письма с просьбой оплаты) выносится решение о формировании и направлении дела в судебные органы.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Форма 0503387М и 0503387G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по строке 00200 гр.27 и г.р41 разница в сумме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94 800,00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руб. Ошибочно в отчетности за декабрь 2025г. дважды отражены расходы по реализации мероприятий по предупреждению и ликвидации болезней животных, их лечению, защите населения от болезней, общих для человека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животных, в части обустройства и содержания мест утилизации биологических отходов (скотомогильников, биотермических ям, крематоров,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инсинераторов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 строке 12300 гр.27 и гр.41 в отчетности за декабрь отражены не корректные данные по наличию дебиторской задолженности по расходам муниципального района. В гр.48 данные сельских поселений не проставлены. Выше изложенные ошибки были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скоректированы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годовой отчетности за 2025г по форме 0503387G.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410Gm с формой 0503710,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расхождения на сумму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6 402 857,14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руб. связано с отражением передачи имущества из бюджета сельского поселения в республиканский бюджет получателю - БУ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Чемальская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районная больница Министерства здравоохранения Республики Алтай.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410 с формой 401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расхождения по коду аналитики 194 и виду расходов 804 связаны с отражением консолидированных расчетов  ф. 0503121 и 0503110.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shd w:val="clear" w:color="auto" w:fill="FFFFFF"/>
        <w:spacing w:after="120"/>
        <w:ind w:firstLine="7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9C34DB" w:rsidRDefault="00B375F4">
      <w:pPr>
        <w:shd w:val="clear" w:color="auto" w:fill="FFFFFF"/>
        <w:spacing w:after="120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shd w:val="clear" w:color="auto" w:fill="FFFFFF"/>
        <w:spacing w:after="120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shd w:val="clear" w:color="auto" w:fill="FFFFFF"/>
        <w:spacing w:after="120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9C34DB" w:rsidRDefault="00B375F4">
      <w:p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rPr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9C34DB" w:rsidRDefault="009C34DB"/>
    <w:p w:rsidR="009C34DB" w:rsidRDefault="00B375F4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960" w:type="dxa"/>
        <w:tblInd w:w="-34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2540"/>
        <w:gridCol w:w="4585"/>
        <w:gridCol w:w="3099"/>
      </w:tblGrid>
      <w:tr w:rsidR="009C34DB"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42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u w:val="single"/>
              </w:rPr>
              <w:drawing>
                <wp:inline distT="0" distB="0" distL="0" distR="0">
                  <wp:extent cx="2857500" cy="952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Тоорчукова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Любовь Викторовна</w:t>
            </w:r>
          </w:p>
        </w:tc>
      </w:tr>
      <w:tr w:rsidR="009C34DB">
        <w:trPr>
          <w:trHeight w:val="280"/>
        </w:trPr>
        <w:tc>
          <w:tcPr>
            <w:tcW w:w="25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4DB" w:rsidRDefault="009C34DB">
            <w:pPr>
              <w:rPr>
                <w:sz w:val="24"/>
              </w:rPr>
            </w:pPr>
          </w:p>
        </w:tc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(подпись)</w:t>
            </w:r>
          </w:p>
        </w:tc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(расшифровка подписи)</w:t>
            </w:r>
          </w:p>
        </w:tc>
      </w:tr>
      <w:tr w:rsidR="009C34DB">
        <w:trPr>
          <w:trHeight w:val="281"/>
        </w:trPr>
        <w:tc>
          <w:tcPr>
            <w:tcW w:w="9954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34DB">
        <w:trPr>
          <w:trHeight w:val="281"/>
        </w:trPr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планово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9C34DB">
            <w:pPr>
              <w:rPr>
                <w:sz w:val="24"/>
              </w:rPr>
            </w:pPr>
          </w:p>
        </w:tc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9C34DB">
            <w:pPr>
              <w:rPr>
                <w:sz w:val="24"/>
              </w:rPr>
            </w:pPr>
          </w:p>
        </w:tc>
      </w:tr>
      <w:tr w:rsidR="009C34DB">
        <w:trPr>
          <w:trHeight w:val="281"/>
        </w:trPr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экономической службы</w:t>
            </w:r>
          </w:p>
        </w:tc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(подпись)</w:t>
            </w:r>
          </w:p>
        </w:tc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(расшифровка подписи)</w:t>
            </w:r>
          </w:p>
        </w:tc>
      </w:tr>
      <w:tr w:rsidR="009C34DB">
        <w:trPr>
          <w:trHeight w:val="281"/>
        </w:trPr>
        <w:tc>
          <w:tcPr>
            <w:tcW w:w="9954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4DB" w:rsidRDefault="009C34DB">
            <w:pPr>
              <w:rPr>
                <w:sz w:val="24"/>
              </w:rPr>
            </w:pPr>
          </w:p>
        </w:tc>
      </w:tr>
      <w:tr w:rsidR="009C34DB">
        <w:trPr>
          <w:trHeight w:val="281"/>
        </w:trPr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Главный</w:t>
            </w:r>
          </w:p>
        </w:tc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ind w:left="-139" w:right="-288" w:firstLine="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u w:val="single"/>
              </w:rPr>
              <w:drawing>
                <wp:inline distT="0" distB="0" distL="0" distR="0">
                  <wp:extent cx="2857500" cy="952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4DB" w:rsidRDefault="009C34DB">
            <w:pPr>
              <w:rPr>
                <w:sz w:val="24"/>
              </w:rPr>
            </w:pPr>
          </w:p>
        </w:tc>
      </w:tr>
      <w:tr w:rsidR="009C34DB">
        <w:trPr>
          <w:trHeight w:val="281"/>
        </w:trPr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(подпись)</w:t>
            </w:r>
          </w:p>
        </w:tc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(расшифровка подписи)</w:t>
            </w:r>
          </w:p>
        </w:tc>
      </w:tr>
      <w:tr w:rsidR="009C34DB">
        <w:trPr>
          <w:trHeight w:val="449"/>
        </w:trPr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«____»______20____г.</w:t>
            </w:r>
          </w:p>
        </w:tc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9C34DB">
            <w:pPr>
              <w:rPr>
                <w:sz w:val="24"/>
              </w:rPr>
            </w:pPr>
          </w:p>
        </w:tc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9C34DB">
            <w:pPr>
              <w:rPr>
                <w:sz w:val="24"/>
              </w:rPr>
            </w:pPr>
          </w:p>
        </w:tc>
      </w:tr>
    </w:tbl>
    <w:p w:rsidR="009C34DB" w:rsidRDefault="00B375F4">
      <w:r>
        <w:rPr>
          <w:rFonts w:ascii="Times New Roman" w:eastAsia="Times New Roman" w:hAnsi="Times New Roman" w:cs="Times New Roman"/>
          <w:sz w:val="24"/>
          <w:szCs w:val="24"/>
        </w:rPr>
        <w:t>Документ подписан электронной подписью. Дата представления 12.02.2026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Главный бухгалтер(Сергеева Маргарита Борисовна, Сертификат: 00DB991413A0B99B81C5DE7BC6EB58A95A, Действителен: с 16.12.2025 по 11.03.2027),Руководитель(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Тоорчукова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Любовь Викторовна, Сертификат: 1B17C5034720BDAA494EF3780B172009, Действителен: с 22.12.2025 по 17.03.2027)        </w:t>
      </w:r>
    </w:p>
    <w:sectPr w:rsidR="009C34DB" w:rsidSect="005D0555">
      <w:pgSz w:w="12240" w:h="15840"/>
      <w:pgMar w:top="850" w:right="1133" w:bottom="1700" w:left="1133" w:header="708" w:footer="708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9C34DB"/>
    <w:rsid w:val="005D0555"/>
    <w:rsid w:val="00604F73"/>
    <w:rsid w:val="009C34DB"/>
    <w:rsid w:val="00B37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C34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neNumber">
    <w:name w:val="Line Number"/>
    <w:basedOn w:val="a0"/>
    <w:semiHidden/>
    <w:rsid w:val="009C34DB"/>
  </w:style>
  <w:style w:type="character" w:styleId="a3">
    <w:name w:val="Hyperlink"/>
    <w:rsid w:val="009C34DB"/>
    <w:rPr>
      <w:color w:val="0000FF"/>
      <w:u w:val="single"/>
    </w:rPr>
  </w:style>
  <w:style w:type="table" w:styleId="1">
    <w:name w:val="Table Simple 1"/>
    <w:basedOn w:val="a1"/>
    <w:rsid w:val="009C34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75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75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4798</Words>
  <Characters>27349</Characters>
  <Application>Microsoft Office Word</Application>
  <DocSecurity>0</DocSecurity>
  <Lines>227</Lines>
  <Paragraphs>64</Paragraphs>
  <ScaleCrop>false</ScaleCrop>
  <Company/>
  <LinksUpToDate>false</LinksUpToDate>
  <CharactersWithSpaces>32083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GL-BUH</dc:creator>
  <cp:lastModifiedBy>GL-BUH</cp:lastModifiedBy>
  <cp:revision>3</cp:revision>
  <dcterms:created xsi:type="dcterms:W3CDTF">2026-05-12T07:51:00Z</dcterms:created>
  <dcterms:modified xsi:type="dcterms:W3CDTF">2026-05-12T07:56:00Z</dcterms:modified>
</cp:coreProperties>
</file>