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4DB" w:rsidRDefault="00B375F4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60" w:type="dxa"/>
        <w:tblInd w:w="15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/>
      </w:tblPr>
      <w:tblGrid>
        <w:gridCol w:w="2711"/>
        <w:gridCol w:w="3261"/>
        <w:gridCol w:w="2128"/>
        <w:gridCol w:w="1560"/>
      </w:tblGrid>
      <w:tr w:rsidR="009C34DB">
        <w:trPr>
          <w:trHeight w:val="273"/>
        </w:trPr>
        <w:tc>
          <w:tcPr>
            <w:tcW w:w="9660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                                            </w:t>
            </w:r>
          </w:p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  <w:p w:rsidR="009C34DB" w:rsidRDefault="00B375F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ПОЯСНИТЕЛЬНАЯ ЗАПИСКА</w:t>
            </w:r>
          </w:p>
        </w:tc>
      </w:tr>
      <w:tr w:rsidR="009C34DB">
        <w:trPr>
          <w:trHeight w:val="337"/>
        </w:trPr>
        <w:tc>
          <w:tcPr>
            <w:tcW w:w="810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                     к отчету об исполнении консолидированного бюджета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9C34DB">
        <w:trPr>
          <w:trHeight w:val="273"/>
        </w:trPr>
        <w:tc>
          <w:tcPr>
            <w:tcW w:w="27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6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Форма по ОКУД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68529E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05031</w:t>
            </w:r>
            <w:r w:rsidR="00B375F4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9C34DB">
        <w:trPr>
          <w:trHeight w:val="273"/>
        </w:trPr>
        <w:tc>
          <w:tcPr>
            <w:tcW w:w="597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января 2026 г.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Дата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01.01.2026</w:t>
            </w:r>
          </w:p>
        </w:tc>
      </w:tr>
      <w:tr w:rsidR="009C34DB">
        <w:trPr>
          <w:trHeight w:val="273"/>
        </w:trPr>
        <w:tc>
          <w:tcPr>
            <w:tcW w:w="27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финансового органа</w:t>
            </w:r>
          </w:p>
        </w:tc>
        <w:tc>
          <w:tcPr>
            <w:tcW w:w="326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Чемальский район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ОКПО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9C34DB">
            <w:pPr>
              <w:rPr>
                <w:sz w:val="24"/>
              </w:rPr>
            </w:pPr>
          </w:p>
        </w:tc>
      </w:tr>
      <w:tr w:rsidR="009C34DB">
        <w:trPr>
          <w:trHeight w:val="273"/>
        </w:trPr>
        <w:tc>
          <w:tcPr>
            <w:tcW w:w="27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6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по БК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092</w:t>
            </w:r>
          </w:p>
        </w:tc>
      </w:tr>
      <w:tr w:rsidR="009C34DB">
        <w:trPr>
          <w:trHeight w:val="273"/>
        </w:trPr>
        <w:tc>
          <w:tcPr>
            <w:tcW w:w="27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326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Бюджет муниципальных образований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по ОКТМО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84643000</w:t>
            </w:r>
          </w:p>
        </w:tc>
      </w:tr>
      <w:tr w:rsidR="009C34DB">
        <w:trPr>
          <w:trHeight w:val="273"/>
        </w:trPr>
        <w:tc>
          <w:tcPr>
            <w:tcW w:w="27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Периодичность: </w:t>
            </w:r>
          </w:p>
        </w:tc>
        <w:tc>
          <w:tcPr>
            <w:tcW w:w="326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месячная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34DB">
        <w:trPr>
          <w:trHeight w:val="356"/>
        </w:trPr>
        <w:tc>
          <w:tcPr>
            <w:tcW w:w="27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Единица измерения: </w:t>
            </w:r>
          </w:p>
        </w:tc>
        <w:tc>
          <w:tcPr>
            <w:tcW w:w="326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по ОКЕИ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383</w:t>
            </w:r>
          </w:p>
        </w:tc>
      </w:tr>
    </w:tbl>
    <w:p w:rsidR="009C34DB" w:rsidRDefault="00B375F4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C34DB" w:rsidRDefault="00B375F4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C34DB" w:rsidRDefault="00B375F4">
      <w:pPr>
        <w:ind w:firstLine="700"/>
        <w:jc w:val="center"/>
        <w:rPr>
          <w:color w:val="000000"/>
        </w:rPr>
      </w:pPr>
      <w:r>
        <w:rPr>
          <w:rFonts w:ascii="Calibri" w:eastAsia="Calibri" w:hAnsi="Calibri" w:cs="Calibri"/>
          <w:color w:val="FF0000"/>
          <w:sz w:val="28"/>
          <w:szCs w:val="28"/>
        </w:rPr>
        <w:t> </w:t>
      </w:r>
    </w:p>
    <w:p w:rsidR="009C34DB" w:rsidRDefault="00B375F4">
      <w:pPr>
        <w:ind w:firstLine="700"/>
        <w:jc w:val="center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Пояснительная записка</w:t>
      </w:r>
    </w:p>
    <w:p w:rsidR="009C34DB" w:rsidRDefault="00B375F4">
      <w:pPr>
        <w:ind w:firstLine="700"/>
        <w:jc w:val="center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к годовому отчету об исполнении консолидированного бюджета МО «Чемальский район» за 2025 год</w:t>
      </w:r>
    </w:p>
    <w:p w:rsidR="009C34DB" w:rsidRDefault="00B375F4">
      <w:pPr>
        <w:ind w:firstLine="56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C34DB" w:rsidRDefault="00B375F4">
      <w:pPr>
        <w:ind w:firstLine="700"/>
        <w:jc w:val="center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1. Анализ исполнения доходной части бюджета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Уточненные плановые назначения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по налоговым и неналоговым доходам 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консолидированного бюджета МО «Чемальский район»   на 2025 год  в размере 476300,7 тыс. рублей исполнены на 99,2 %, что в сумме составило  472357,2 тыс.рублей. </w:t>
      </w:r>
    </w:p>
    <w:p w:rsidR="009C34DB" w:rsidRDefault="00B375F4">
      <w:pPr>
        <w:ind w:firstLine="56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Фактическое поступление налоговых и неналоговых доходов консолидированного бюджета МО «Чемальский район» в 2025 году на 42,5 % или на 140940,0 тыс. рублей </w:t>
      </w:r>
      <w:r>
        <w:rPr>
          <w:rFonts w:ascii="Calibri" w:eastAsia="Calibri" w:hAnsi="Calibri" w:cs="Calibri"/>
          <w:i/>
          <w:color w:val="000000"/>
          <w:sz w:val="28"/>
          <w:szCs w:val="28"/>
        </w:rPr>
        <w:t xml:space="preserve">больше 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поступлений 2024 года. </w:t>
      </w:r>
    </w:p>
    <w:p w:rsidR="009C34DB" w:rsidRDefault="00B375F4">
      <w:pPr>
        <w:ind w:firstLine="56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Анализ исполнения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налоговых доходов </w:t>
      </w:r>
      <w:r>
        <w:rPr>
          <w:rFonts w:ascii="Calibri" w:eastAsia="Calibri" w:hAnsi="Calibri" w:cs="Calibri"/>
          <w:color w:val="000000"/>
          <w:sz w:val="28"/>
          <w:szCs w:val="28"/>
        </w:rPr>
        <w:t>консолидированного бюджета МО «Чемальский район» за 2025 год в сравнении с аналогичным периодом прошлого года представлен в следующей таблице:</w:t>
      </w:r>
    </w:p>
    <w:p w:rsidR="009C34DB" w:rsidRDefault="00B375F4">
      <w:pPr>
        <w:ind w:firstLine="56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tbl>
      <w:tblPr>
        <w:tblW w:w="0" w:type="auto"/>
        <w:tblInd w:w="-572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/>
      </w:tblPr>
      <w:tblGrid>
        <w:gridCol w:w="2316"/>
        <w:gridCol w:w="1338"/>
        <w:gridCol w:w="1033"/>
        <w:gridCol w:w="1033"/>
        <w:gridCol w:w="923"/>
        <w:gridCol w:w="1325"/>
        <w:gridCol w:w="1442"/>
        <w:gridCol w:w="1352"/>
      </w:tblGrid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Наименование доходов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Уточненный годовой план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Факт за 2024 год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Факт за 2025 год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Темп роста, %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Отклонение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Доля поступлений, % </w:t>
            </w:r>
          </w:p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% выполнения плана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Налоговые и неналоговые  доходы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476300,7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331417,2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472357,2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142,5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140940,0</w:t>
            </w:r>
          </w:p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99,2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Налоговые доходы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367761,1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249725,9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366284,4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146,7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116558,5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77,5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99,6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Налог на доходы физических лиц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226006,5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148690,5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219994,2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148,0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71303,7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60,1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97,3</w:t>
            </w:r>
          </w:p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Акцизы на нефтепродукты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7977,5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7705,4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7875,8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102,2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170,4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2,2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98,7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Туристический налог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20560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19588,3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19588,3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5,3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95,3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Налоги на совокупный доход, в т.ч.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Единый налог на вмененный доход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6,7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15,1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6,8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45,0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-8,3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0,002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101,5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Единый сельскохозяйственный налог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41,3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44,8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27,7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61,8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-17,1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0,01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67,1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8791,1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6412,7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12182,2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190,0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5769,5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3,3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138,6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Налоги на имущество, в т.ч: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Налог на имущество физических лиц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12981,9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5621,6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13499,3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240,1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7877,7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3,7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104,0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Налог на имущество организаций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33000,0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23688,0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32310,1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136,4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8622,1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8,8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97,9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Земельный налог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47021,1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52055,5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48834,9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93,8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-3220,6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13,3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103,9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Налог на добычу полезных ископаемых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3700,0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1462,4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4149,4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283,7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2687,0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1,1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112,1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Сборы за пользование объектами животного мира 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0,02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4,5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22500,0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4,48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0,001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</w:t>
            </w:r>
          </w:p>
        </w:tc>
      </w:tr>
      <w:tr w:rsidR="009C34DB"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Государственная пошлина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7675,0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4029,8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7815,5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193,9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3785,7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2,1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101,8</w:t>
            </w:r>
          </w:p>
        </w:tc>
      </w:tr>
    </w:tbl>
    <w:p w:rsidR="009C34DB" w:rsidRDefault="00B375F4">
      <w:pPr>
        <w:ind w:firstLine="70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i/>
          <w:color w:val="000000"/>
          <w:sz w:val="28"/>
          <w:szCs w:val="28"/>
        </w:rPr>
        <w:t>Причины, оказавшие влияние на фактическое поступление налоговых доходов в консолидированный бюджет МО «Чемальский» район в 2025 году в разрезе доходных источников: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i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НДФЛ: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lastRenderedPageBreak/>
        <w:t>Доля поступлений в 2025 году в общем объеме налоговых доходов составила 60,1 %. Отклонение от аналогичного периода прошлого года составило 71303, тыс. рублей (темп роста 148,0 %).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Основные причины роста поступлений: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1) Увеличение налогооблагаемой базы, в связи с чем рост поступлений по основным налогоплательщикам: ООО "Клевер на 5259,6 тыс. рублей (01.01.2026 г. - 10330,5 тыс. рублей, 01.01.2025 г. - 5070,9 тыс. рублей), ООО "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Феодон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>" на 2503,9 тыс. рублей (01.01.2026 г. - 4128,9 тыс. рублей, 01.01.2025 г. - 1625,0 тыс. рублей), ООО "Бадан" на 3035,3 тыс. рублей (01.01.2026 г. - 4023,5 тыс. рублей, 01.01.2025 г. - 988,2 тыс. рублей), ООО "Новое место" на 2009,7 тыс. рублей (01.01.2026 г. - 2665,1 тыс. рублей, 01.01.2025 г. - 655,4 тыс. рублей), ООО "Альянс" на 1442,5 тыс. рублей (01.01.2026 г. - 2022,5 тыс. рублей ,01.01.2025 г. - 580,0 тыс. рублей), ФГБУ ТС "Чемал" Минздрава России на 1647,1 тыс. рублей (01.01.2026 г. - 8228,6 тыс. рублей, 01.01.2025 г. -   6581,5 тыс. рублей). Общая сумма уплаченного налога основными налогоплательщиками - 31399,1 тыс. рублей.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2) Увеличение МРОТ с 01.01.2025 - с 19242 до 22440 рублей.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3) Увеличение с 01.01.2025 год заработной платы федеральным государственным служащим на 4%.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4) Поступление "разового" платежа по декларации 3-НДФЛ от физического лица в сумме 40393,5 тыс. рублей.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Плановые назначения по налогу выполнены на 97,3 %. Причина невыполнения плановых назначений: наличие задолженности по налогу на 01.01.2026 г. - 6931,2 тыс. рублей.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2,2 %. Отклонение от аналогичного периода прошлого года составило 170,4 тыс. рублей (темп роста  102,2 %).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Основные причины роста поступлений: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1) Изменение нормативов отчислений акцизов на нефтепродукты на 2025-2027 годы.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Туристический налог: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5,3 %. Отклонение от аналогичного периода прошлого года составило 19588,3 тыс. рублей (темп роста 0 %).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Основные причины роста поступлений: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1) Введение туристического налога с 01.01.2025 года Федеральным законом от 12.07.2024 г. № 176-ФЗ "О внесении изменений в части первую и вторую Налогового кодекса Российской Федерации".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Плановые назначения по налогу выполнены на 95,3 %.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lastRenderedPageBreak/>
        <w:t xml:space="preserve">Причины невыполнения плановых назначений: ожидаемое поступление больше фактического поступления.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Основные плательщики туристического налога: ООО "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Феодон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 xml:space="preserve">" 3505,1 тыс. рублей, ОАО "РЖД" 1904,3 тыс. рублей, ООО "Алтай - 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Премиум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>" 467,3 тыс. рублей, ООО "Клевер" 901,6 тыс. рублей, ООО "Новое место" 496,6 тыс. рублей, ООО "Теплый стан" 610,1 тыс. рублей, ООО "Тур - прогноз" 511,1 тыс. рублей.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i/>
          <w:color w:val="FF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ЕСХН: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0,01 %. Отклонение от аналогичного периода прошлого года составило 17,1 тыс. рублей (темп снижения 61,8 %).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Основные причины снижения поступлений и невыполнения плановых назначений: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1)  Отсутствие поступлений от ИП 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Яныканова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 xml:space="preserve"> В.Л., в связи с наличием переплаты по состоянию на 01.01.2025 года.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Плановые назначения по налогу выполнены на 67,1 %.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ПСН: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 3,3 %. Отклонение от аналогичного периода прошлого года составило 5769,5 тыс. рублей (темп роста 190,0 %).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Основные причины роста поступлений: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1) Увеличение количества выданных патентов на 144 патента  (01.01.2026 г. - 456, 01.01.2025 г. - 312).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Плановые назначения по налогу выполнены на 138,6 %.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Причины перевыполнения плановых назначений: перенос срока уплаты патента на 29 декабря 2025 года (для патентов со сроком уплаты 31 декабря 2025 года) (ФЗ № 259-ФЗ от 08.08.2025 года "О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НИФЛ: </w:t>
      </w: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3,7 %. Отклонение от аналогичного периода прошлого года составило 7877,7 тыс. рублей (темп роста 240,1 %).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lastRenderedPageBreak/>
        <w:t>Основные причины роста поступлений и перевыполнения плановых назначений: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1) Увеличение налоговой базы в связи с проведением кадастровой оценки всех учтенных в Едином государственном реестре  недвижимости зданий, помещений, сооружений, объектов незавершенного строительства, машина - мест на территории Республики Алтай, на основании Приказа Министерства экономического развития РА от 12.09.2023 г. № 350-ОД. Кадастровая стоимость увеличилась в 1,8 раз.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2) Оплата задолженности физическими лицами.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Плановые назначения по налогу выполнены на 104,0 %.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НИО: </w:t>
      </w: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 8,8 %. Отклонение от аналогичного периода прошлого года составило 8622,1 тыс. рублей (темп роста 136,4 %).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Основные причины роста поступлений: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1) Увеличение налоговой базы в связи с постановкой на учет имущества ООО "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Феодон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>" (01.01.2026 г. - 4496,0 тыс. рублей, 01.01.2025 г. - 862,0 тыс. рублей), ООО "Специализированный застройщик "Лес и горы" (01.01.2026 г. - 495,0 тыс. рублей, 01.01.2025 г. - 0,0 тыс. рублей), КУ РА "Республиканское Управление автомобильных дорог общего пользования "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Горно-АлтайАвтодор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>" (01.01.2026 г. -1303,4 тыс. рублей, 01.01.2025 г. - 608,8 тыс. рублей). 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Плановые назначения по налогу выполнены на 97,9 %.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Причина невыполнения плановых назначений: снижение налогооблагаемой базы по МДОУ детский сад "Улыбка" в связи со снятием с налогового учета объекта налогообложения в 2025 году (01.01.2026 г. - 1112,0 тыс. рублей, 01.01.2025 г. - 2158,0 тыс. рублей).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i/>
          <w:color w:val="FF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ЗН: </w:t>
      </w: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13,3 %. Отклонение от аналогичного периода прошлого года составило 3220,6 тыс. рублей (темп снижения 93,8 %).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Основные причины снижения поступлений </w:t>
      </w:r>
      <w:r>
        <w:rPr>
          <w:rFonts w:ascii="Calibri" w:eastAsia="Calibri" w:hAnsi="Calibri" w:cs="Calibri"/>
          <w:i/>
          <w:color w:val="000000"/>
          <w:sz w:val="28"/>
          <w:szCs w:val="28"/>
        </w:rPr>
        <w:t xml:space="preserve">земельного налога с организаций: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1) Снижение поступлений на 15732,6 тыс. рублей ООО "Строй-система", находящегося в процедуре банкротства в 2024 году (01.01.2026 г. - 840,7 тыс. рублей, 01.01.2025 г. - 16573,3 тыс. рублей).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Основные причины роста поступлений </w:t>
      </w:r>
      <w:r>
        <w:rPr>
          <w:rFonts w:ascii="Calibri" w:eastAsia="Calibri" w:hAnsi="Calibri" w:cs="Calibri"/>
          <w:i/>
          <w:color w:val="000000"/>
          <w:sz w:val="28"/>
          <w:szCs w:val="28"/>
        </w:rPr>
        <w:t>земельного налога с физических лиц: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lastRenderedPageBreak/>
        <w:t>1) Увеличение налогооблагаемой базы в связи с увеличением количества объектов налогообложения.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2) Оплата задолженности физическими лицами за прошлые периоды.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Плановые назначения по налогу выполнены на 93,8%.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Причины невыполнения плановых назначений: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1) Рост задолженности по земельному налогу с организаций на 2695,6 тыс. рублей (01.01.2026 г. - 2696,2 тыс. рублей, 01.01.2025 г. - 0,6 тыс. рублей).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2) Рост задолженности по земельному налогу с физических лиц на 1917,3 тыс. рублей (01.01.2026 г. - 5269,6 тыс. рублей, 01.01.2025 г. - 3352,3 тыс. рублей).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FF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НДПИ: 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Доля поступлений в 2025 году в общем объеме налоговых доходов составила 1,1 %. Отклонение от аналогичного периода прошлого года составило 2687,0 тыс. рублей (темп роста 283,7 %). Поступление за счет общераспространенных полезных ископаемых.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Основные причины роста поступлений </w:t>
      </w:r>
      <w:r>
        <w:rPr>
          <w:rFonts w:ascii="Calibri" w:eastAsia="Calibri" w:hAnsi="Calibri" w:cs="Calibri"/>
          <w:i/>
          <w:color w:val="000000"/>
          <w:sz w:val="28"/>
          <w:szCs w:val="28"/>
        </w:rPr>
        <w:t>общераспространенных полезных ископаемых: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1) Увеличение поступлений налогоплательщиком ООО "Строительная компания "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Че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>", в связи с началом работ по добыче полезных ископаемых (01.01.2026 г. - 2393,2 тыс. рублей, 01.01.2025 г. - 0,0 тыс. рублей).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Плановые назначения по налогу выполнены на 112,1 %.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Причины выполнения плановых назначений: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1) рост поступлений от основных налогоплательщиков ООО "Стройиндустрия" на 209,0 тыс. рублей (01.01.2026 г. - 1428,4 тыс. рублей, 01.01.2025 г. - 1219,4 тыс. рублей), АО "ДЭП № 218" на 121,2 тыс. рублей (01.01.2026 г. - 323,3 тыс. рублей, 01.01.2025 г. - 202,1 тыс. рублей).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FF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Сборы за пользование объектами ЖМ и ВБР: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0,001 %. Отклонение от аналогичного периода прошлого года составило 4,48 тыс. рублей (темп роста 22500,0 %).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FF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ГП: </w:t>
      </w: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2,1 %. Отклонение от аналогичного периода прошлого года составило 3785,7 тыс. рублей (темп роста 193,9 %).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Причина роста поступлений и перевыполнения плановых назначений: рост поступлений по госпошлине по делам, рассматриваемым в судах общей юрисдикции, мировыми судьями на 3906,4 тыс.рублей (01.01.2026 г - 7793,7 тыс. рублей, на 01.01.2025 - 3887,3 тыс. рублей).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lastRenderedPageBreak/>
        <w:t>В тоже время снижение поступлений по госпошлине за государственную регистрацию, а также совершение прочих юридически значимых действий на 120,7 тыс. рублей (01.01.2026 г. - 21,8 тыс. рублей, на 01.01.2025 г. - 142,5 тыс. рублей).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Плановые назначения по налогу выполнены на 101,8 %.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 </w:t>
      </w:r>
    </w:p>
    <w:p w:rsidR="009C34DB" w:rsidRDefault="00B375F4">
      <w:pPr>
        <w:ind w:firstLine="56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Анализ исполнения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неналоговых доходов </w:t>
      </w:r>
      <w:r>
        <w:rPr>
          <w:rFonts w:ascii="Calibri" w:eastAsia="Calibri" w:hAnsi="Calibri" w:cs="Calibri"/>
          <w:color w:val="000000"/>
          <w:sz w:val="28"/>
          <w:szCs w:val="28"/>
        </w:rPr>
        <w:t>консолидированного бюджета МО «Чемальский район» за 2025 год в сравнении с аналогичным периодом прошлого года представлен в следующей таблице: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 </w:t>
      </w:r>
    </w:p>
    <w:tbl>
      <w:tblPr>
        <w:tblW w:w="0" w:type="auto"/>
        <w:tblInd w:w="-572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/>
      </w:tblPr>
      <w:tblGrid>
        <w:gridCol w:w="2325"/>
        <w:gridCol w:w="1361"/>
        <w:gridCol w:w="1050"/>
        <w:gridCol w:w="1050"/>
        <w:gridCol w:w="785"/>
        <w:gridCol w:w="1348"/>
        <w:gridCol w:w="1467"/>
        <w:gridCol w:w="1376"/>
      </w:tblGrid>
      <w:tr w:rsidR="009C34DB"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Наименование доходов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Уточненный годовой план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Факт за 2024 год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Факт за 2025 год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Темп роста, %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Отклонение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Доля поступлений, % </w:t>
            </w:r>
          </w:p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% выполнения плана</w:t>
            </w:r>
          </w:p>
        </w:tc>
      </w:tr>
      <w:tr w:rsidR="009C34DB"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Налоговые и неналоговые  доходы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476300,7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331417,2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472357,2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142,5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140940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99,2</w:t>
            </w:r>
          </w:p>
        </w:tc>
      </w:tr>
      <w:tr w:rsidR="009C34DB"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Неналоговые доходы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108539,6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81691,3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106072,9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129,8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24381,6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22,5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97,7</w:t>
            </w:r>
          </w:p>
        </w:tc>
      </w:tr>
      <w:tr w:rsidR="009C34DB"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63130,9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37233,6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64799,8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174,0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27566,2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61,1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102,6</w:t>
            </w:r>
          </w:p>
        </w:tc>
      </w:tr>
      <w:tr w:rsidR="009C34DB"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710,0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623,3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709,0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113,7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85,7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0,7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99,9</w:t>
            </w:r>
          </w:p>
        </w:tc>
      </w:tr>
      <w:tr w:rsidR="009C34DB"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Доходы от оказания платных услуг (работ) и компенсации затрат государством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225,0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250,7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257,5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102,7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6,8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0,2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114,4</w:t>
            </w:r>
          </w:p>
        </w:tc>
      </w:tr>
      <w:tr w:rsidR="009C34DB"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39583,7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41747,5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35310,7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84,6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-6436,8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33,3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89,2</w:t>
            </w:r>
          </w:p>
        </w:tc>
      </w:tr>
      <w:tr w:rsidR="009C34DB"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Штрафы, санкции, возмещение ущерба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4890,0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1889,1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4974,7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263,3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3085,6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4,7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101,7</w:t>
            </w:r>
          </w:p>
        </w:tc>
      </w:tr>
      <w:tr w:rsidR="009C34DB"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Прочие неналоговые доходы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-53,0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21,2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-40,0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74,2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0,02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</w:t>
            </w:r>
          </w:p>
        </w:tc>
      </w:tr>
    </w:tbl>
    <w:p w:rsidR="009C34DB" w:rsidRDefault="00B375F4">
      <w:pPr>
        <w:ind w:firstLine="70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i/>
          <w:color w:val="000000"/>
          <w:sz w:val="28"/>
          <w:szCs w:val="28"/>
        </w:rPr>
        <w:lastRenderedPageBreak/>
        <w:t>Причины, оказавшие влияние на фактическое поступление неналоговых доходов в консолидированный бюджет МО «Чемальский» район в 2025 году в разрезе доходных источников: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Доходы от использования имущества, находящегося в государственной и муниципальной собственности: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61,1 %. Отклонение от аналогичного периода прошлого года составило 27566,2 тыс. рублей (темп роста 174,0 %).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Рост поступлений обеспечен: за счет доходов от аренды земельных участков на 25559,1 тыс. рублей, темп роста 73,2 %.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Основные причины роста поступлений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доходов от аренды земельных участков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: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1) Рост поступлений по муниципальному району, в связи с  поступлением по заключенным 24 договорам аренды (по аукциону) на сумму 39 417,1 тыс. рублей по муниципальному району и проведенной претензионной работы в течение года.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tbl>
      <w:tblPr>
        <w:tblW w:w="9900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/>
      </w:tblPr>
      <w:tblGrid>
        <w:gridCol w:w="1662"/>
        <w:gridCol w:w="1453"/>
        <w:gridCol w:w="1696"/>
        <w:gridCol w:w="1695"/>
        <w:gridCol w:w="1698"/>
        <w:gridCol w:w="1696"/>
      </w:tblGrid>
      <w:tr w:rsidR="009C34DB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Кол-во договоров по которым начислены платежи к уплате в 2025 году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Сумма начисленных арендных платежей за 2025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Сумма уплаченных арендных платежей за 2025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Кол-во договоров по которым начислены платежи к уплате в 2024 году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Сумма начисленных арендных платежей за 2024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Сумма уплаченных арендных платежей за 2024 год</w:t>
            </w:r>
          </w:p>
        </w:tc>
      </w:tr>
      <w:tr w:rsidR="009C34DB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64174,1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58744,0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599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25829,8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21499,3</w:t>
            </w:r>
          </w:p>
        </w:tc>
      </w:tr>
    </w:tbl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Плановые назначения по налогу выполнены на 102,6 %.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Причины перевыполнения плановых назначений: оплата по претензионным письмам, направленным в 3,4 квартале 2025 г.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Задолженность по арендной плате за земельные участки по состоянию на 01.01.2026 года составляет 5430,1 тыс. рублей по отношению к 01.01.2025 года отмечен рост задолженности на 1099,6 тыс. рублей.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Причина роста задолженности: не оплачена задолженность арендаторами прошлого периода и  подан иск в суд на взыскание задолженности в сумме  1599,8 тыс. рублей.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Меры принятые по снижению задолженности: проведение в течение года претензионной работы по задолженности, начисление арендной платы в системе ГИС ГМП, индивидуальная работа с арендаторами.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lastRenderedPageBreak/>
        <w:t xml:space="preserve">В тоже время снижение поступлений по 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Чепошскому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 xml:space="preserve"> сельском поселению на 9507,5 тыс. рублей:</w:t>
      </w:r>
    </w:p>
    <w:tbl>
      <w:tblPr>
        <w:tblW w:w="9900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/>
      </w:tblPr>
      <w:tblGrid>
        <w:gridCol w:w="1635"/>
        <w:gridCol w:w="1566"/>
        <w:gridCol w:w="1674"/>
        <w:gridCol w:w="1664"/>
        <w:gridCol w:w="1687"/>
        <w:gridCol w:w="1674"/>
      </w:tblGrid>
      <w:tr w:rsidR="009C34DB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Кол-во договоров по которым начислены платежи к уплате в 2025 году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Сумма начисленных арендных платежей за 2025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Сумма уплаченных арендных платежей за 2025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Кол-во договоров по которым начислены платежи к уплате в 2024 году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Сумма начисленных арендных платежей за 2024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Сумма уплаченных арендных платежей за 2024 год</w:t>
            </w:r>
          </w:p>
        </w:tc>
      </w:tr>
      <w:tr w:rsidR="009C34DB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1548,9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1548,9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11056,4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11056,4</w:t>
            </w:r>
          </w:p>
        </w:tc>
      </w:tr>
    </w:tbl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Снижение по 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Элекмонарскому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 xml:space="preserve"> сельскому поселению на 2165,9 тыс. рублей:</w:t>
      </w:r>
    </w:p>
    <w:tbl>
      <w:tblPr>
        <w:tblW w:w="9900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/>
      </w:tblPr>
      <w:tblGrid>
        <w:gridCol w:w="1635"/>
        <w:gridCol w:w="1566"/>
        <w:gridCol w:w="1674"/>
        <w:gridCol w:w="1664"/>
        <w:gridCol w:w="1687"/>
        <w:gridCol w:w="1674"/>
      </w:tblGrid>
      <w:tr w:rsidR="009C34DB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Кол-во договоров по которым начислены платежи к уплате в 2025 году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Сумма начисленных арендных платежей за 2025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Сумма уплаченных арендных платежей за 2025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Кол-во договоров по которым начислены платежи к уплате в 2024 году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Сумма начисленных арендных платежей за 2024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Сумма уплаченных арендных платежей за 2024 год</w:t>
            </w:r>
          </w:p>
        </w:tc>
      </w:tr>
      <w:tr w:rsidR="009C34DB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2190,6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2190,6</w:t>
            </w:r>
          </w:p>
        </w:tc>
      </w:tr>
    </w:tbl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Основные причины снижения поступлений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доходов от аренды имущества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: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1) снижение поступлений по договорам на установку рекламной конструкции на 303,9 тыс. рублей (01.01.2026 г. - 1098,1 тыс. рублей, 01.01.2025 г. - 1402,0 тыс. рублей).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tbl>
      <w:tblPr>
        <w:tblW w:w="9900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/>
      </w:tblPr>
      <w:tblGrid>
        <w:gridCol w:w="1662"/>
        <w:gridCol w:w="1453"/>
        <w:gridCol w:w="1696"/>
        <w:gridCol w:w="1695"/>
        <w:gridCol w:w="1698"/>
        <w:gridCol w:w="1696"/>
      </w:tblGrid>
      <w:tr w:rsidR="009C34DB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Кол-во договоров по которым начислены платежи к уплате в 2025 году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Сумма начисленных арендных платежей за 2025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Сумма уплаченных арендных платежей за 2025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Кол-во договоров по которым начислены платежи к уплате в 2024 году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Сумма начисленных арендных платежей за 2024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Сумма уплаченных арендных платежей за 2024 год</w:t>
            </w:r>
          </w:p>
        </w:tc>
      </w:tr>
      <w:tr w:rsidR="009C34DB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1835,4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1098,1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1402,0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1402,0</w:t>
            </w:r>
          </w:p>
        </w:tc>
      </w:tr>
    </w:tbl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Плановые назначения по налогу выполнены на 92,8%.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Причины невыполнения плановых назначений: наличие задолженности на 01.01.2026 г. по договорам на установку рекламной конструкции на сумму 87,3 тыс. рублей.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Задолженность по арендной плате за использование имущества по состоянию на 01.01.2026 года составляет 87,3 тыс. рублей. По отношению к 01.01.2025 года отмечен рост задолженности на 87,3 тыс. рублей. Причина роста </w:t>
      </w:r>
      <w:r>
        <w:rPr>
          <w:rFonts w:ascii="Calibri" w:eastAsia="Calibri" w:hAnsi="Calibri" w:cs="Calibri"/>
          <w:color w:val="000000"/>
          <w:sz w:val="28"/>
          <w:szCs w:val="28"/>
        </w:rPr>
        <w:lastRenderedPageBreak/>
        <w:t xml:space="preserve">задолженности: отсутствие оплаты в 2025 году по 3 договорам на установку рекламной конструкции.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i/>
          <w:color w:val="FF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Платежи при пользовании природными ресурсами: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0,7 %. Отклонение от аналогичного периода прошлого года составило 85,7 тыс. рублей (темп роста 113,7 %).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Основные причины роста поступлений, а также перевыполнения плановых назначений: увеличение поступлений основных налогоплательщиков ОАО "РЖД" на 39,6 тыс. рублей (01.01.2026 г. - 40,8 тыс. рублей, 01.01.2025 г. - 1,2 тыс. рублей), ООО "АСК"  на 20,8 тыс. рублей (01.01.2026 г. - 20,8 тыс. рублей, 01.01.2025г. - 0,0 тыс. рублей), ООО "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Карина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 xml:space="preserve"> - Сервис" на 23,1 тыс. рублей (01.01.2026 г. - 23,3 тыс. рублей, 01.01.2025 г. - 0,2 тыс. рублей).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Доходы от оказания платных услуг и компенсации затрат государства: </w:t>
      </w: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0,2 %. Отклонение от аналогичного периода прошлого года составило 6,8 тыс. рублей (темп роста 102,7 %).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Рост поступлений обеспечен: за счет доходов от оказания платных услуг на 10,9 тыс. рублей, темп роста 128,3 %.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Основные причины роста поступлений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по доходам от оказания платных услуг 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и перевыполнения плановых назначений: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1) увеличение поступлений по 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Чемальскому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 xml:space="preserve"> сельскому поселению на 10,9 тыс. рублей.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Плановые назначения по налогу выполнены на 114,4 %. </w:t>
      </w:r>
    </w:p>
    <w:p w:rsidR="009C34DB" w:rsidRDefault="00B375F4">
      <w:pPr>
        <w:ind w:firstLine="560"/>
        <w:jc w:val="both"/>
        <w:rPr>
          <w:color w:val="000000"/>
        </w:rPr>
      </w:pPr>
      <w:r>
        <w:rPr>
          <w:rFonts w:ascii="Calibri" w:eastAsia="Calibri" w:hAnsi="Calibri" w:cs="Calibri"/>
          <w:b/>
          <w:i/>
          <w:color w:val="FF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Доходы от продажи материальных и нематериальных активов: </w:t>
      </w: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33,3 %. Отклонение от аналогичного периода прошлого года составило 6436,8 тыс. рублей (темп снижения 84,6 %).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Снижение поступлений обеспечено за счет доходов от продажи земельных участков на 6300,9 тыс. рублей, темп снижения 84,9 %.</w:t>
      </w:r>
    </w:p>
    <w:p w:rsidR="009C34DB" w:rsidRDefault="00B375F4">
      <w:pPr>
        <w:ind w:firstLine="56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Основные причины снижения поступлений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доходов от продажи земельных участков:</w:t>
      </w:r>
    </w:p>
    <w:p w:rsidR="009C34DB" w:rsidRDefault="00B375F4">
      <w:pPr>
        <w:ind w:firstLine="56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1) Снижение поступлений по 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Чемальскому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 xml:space="preserve"> сельскому поселению на 16088,0 тыс. рублей, по 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Чепошскому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 xml:space="preserve"> сельскому поселению на 6670,1 тыс. рублей. </w:t>
      </w:r>
    </w:p>
    <w:p w:rsidR="009C34DB" w:rsidRDefault="00B375F4">
      <w:pPr>
        <w:ind w:firstLine="56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В тоже время рост поступлений по муниципальному району на 10544,4 тыс. рублей, в связи с увеличением выкупной  цены земельных участков с 25% до 100% </w:t>
      </w:r>
      <w:r>
        <w:rPr>
          <w:rFonts w:ascii="Calibri" w:eastAsia="Calibri" w:hAnsi="Calibri" w:cs="Calibri"/>
          <w:color w:val="000000"/>
          <w:sz w:val="28"/>
          <w:szCs w:val="28"/>
        </w:rPr>
        <w:lastRenderedPageBreak/>
        <w:t xml:space="preserve">при заключении договора купли-продажи без проведения торгов (Решение Совета депутатов Чемальского района № 5-79 от 23.10.2025 года). и рост поступлений по 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Элекмонарскому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 xml:space="preserve"> сельскому поселению на 5709,8 тыс. рублей, в связи с выкупом земельного участка, находящегося в аренде.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i/>
          <w:color w:val="FF0000"/>
          <w:sz w:val="28"/>
          <w:szCs w:val="28"/>
        </w:rPr>
        <w:t> </w:t>
      </w:r>
    </w:p>
    <w:tbl>
      <w:tblPr>
        <w:tblW w:w="9465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/>
      </w:tblPr>
      <w:tblGrid>
        <w:gridCol w:w="1685"/>
        <w:gridCol w:w="1698"/>
        <w:gridCol w:w="1980"/>
        <w:gridCol w:w="1698"/>
        <w:gridCol w:w="2404"/>
      </w:tblGrid>
      <w:tr w:rsidR="009C34DB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Кол-во договоров за 2025 год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Сумма продажи по договорам 2025 года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Кол-во договоров за 2024 год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Сумма продажи по договорам 2024 года</w:t>
            </w:r>
          </w:p>
        </w:tc>
      </w:tr>
      <w:tr w:rsidR="009C34DB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МР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17443,9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6899,5</w:t>
            </w:r>
          </w:p>
        </w:tc>
      </w:tr>
      <w:tr w:rsidR="009C34DB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Чемальское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СП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12690,4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28778,4</w:t>
            </w:r>
          </w:p>
        </w:tc>
      </w:tr>
      <w:tr w:rsidR="009C34DB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Элекмонарское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СП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8561,5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167,3</w:t>
            </w:r>
          </w:p>
        </w:tc>
      </w:tr>
      <w:tr w:rsidR="009C34DB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Чепошское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СП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5182,6</w:t>
            </w:r>
          </w:p>
        </w:tc>
      </w:tr>
      <w:tr w:rsidR="009C34DB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38695,8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41027,8</w:t>
            </w:r>
          </w:p>
        </w:tc>
      </w:tr>
    </w:tbl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Плановые назначения по налогу выполнены на 89,2 %.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Возврат по решению суда за земельные участки по 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Чепошскому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 xml:space="preserve"> сельскому поселению на сумму 3782,2 тыс. рублей.</w:t>
      </w:r>
    </w:p>
    <w:p w:rsidR="009C34DB" w:rsidRDefault="00B375F4">
      <w:pPr>
        <w:ind w:firstLine="560"/>
        <w:jc w:val="both"/>
        <w:rPr>
          <w:color w:val="000000"/>
        </w:rPr>
      </w:pPr>
      <w:r>
        <w:rPr>
          <w:rFonts w:ascii="Calibri" w:eastAsia="Calibri" w:hAnsi="Calibri" w:cs="Calibri"/>
          <w:i/>
          <w:color w:val="FF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Штрафы, санкции, возмещение ущерба: </w:t>
      </w: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4,7 %. Отклонение от аналогичного периода прошлого года составило 3085,6 тыс. рублей (темп роста 263,3 %).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Основные причины роста поступлений и перевыполнения плановых назначений: рост поступлений по платежам, уплачиваемых в целях возмещения ущерба на 3924,2 тыс. рублей (на 01.01.2026 г. - 4221,9 тыс. рублей, на 01.01.2025 г. - 297,7 тыс. рублей).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В тоже время  снижение поступлений по административным штрафам, установленных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саморегулируемых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 xml:space="preserve"> организаций на 25,0 тыс. рублей (на 01.01.2026 г. - 13,0 тыс. рублей, на 01.01.2025 г. - 38,0 тыс. рублей);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- снижение поступлений по административным штрафам, установленных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 на 9,9 тыс. рублей (на 01.01.2026 г. - 74,7 тыс.рублей, на 01.01.2025 г. - 84,6 тыс. рублей);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lastRenderedPageBreak/>
        <w:t>- снижение поступлений по платежам, уплачиваемые в целях возмещения вреда на 195,9 тыс. рублей (на 01.01.2026 г. - 270,0 тыс. рублей, на 01.01.2025 г. - 465,9 тыс. рублей);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 - снижение поступлений по иным штрафам, неустойкам, пеням, уплаченных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 на 463,7 тыс. рублей (на 01.01.2026 г. - 0,0 тыс. рублей, на 01.01.2025 г. - 463,7 тыс. рублей).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Плановые назначения по налогу выполнены на 101,7 %. 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i/>
          <w:color w:val="FF0000"/>
          <w:sz w:val="28"/>
          <w:szCs w:val="28"/>
        </w:rPr>
        <w:t> 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Прочие неналоговые: </w:t>
      </w:r>
      <w:r>
        <w:rPr>
          <w:rFonts w:ascii="Calibri" w:eastAsia="Calibri" w:hAnsi="Calibri" w:cs="Calibri"/>
          <w:color w:val="000000"/>
          <w:sz w:val="28"/>
          <w:szCs w:val="28"/>
        </w:rPr>
        <w:t>Доля поступлений в 2025 году в общем объеме налоговых доходов составила 0,02 %. Отклонение от аналогичного периода прошлого года составило 74,2 тыс. рублей (темп снижения -40,0%).</w:t>
      </w:r>
    </w:p>
    <w:p w:rsidR="009C34DB" w:rsidRDefault="00B375F4">
      <w:pPr>
        <w:ind w:firstLine="54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Основные причины роста поступлений: невыясненные поступления по сельским поселениям.</w:t>
      </w:r>
    </w:p>
    <w:p w:rsidR="009C34DB" w:rsidRDefault="00B375F4">
      <w:pPr>
        <w:jc w:val="center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2. Анализ дефицита бюджета и муниципального долга муниципального района (городского округа)</w:t>
      </w:r>
    </w:p>
    <w:p w:rsidR="009C34DB" w:rsidRDefault="00B375F4">
      <w:pPr>
        <w:ind w:firstLine="720"/>
        <w:jc w:val="right"/>
        <w:rPr>
          <w:color w:val="000000"/>
        </w:rPr>
      </w:pPr>
      <w:r>
        <w:rPr>
          <w:rFonts w:ascii="Calibri" w:eastAsia="Calibri" w:hAnsi="Calibri" w:cs="Calibri"/>
          <w:color w:val="000000"/>
        </w:rPr>
        <w:t>тыс. руб.</w:t>
      </w:r>
    </w:p>
    <w:tbl>
      <w:tblPr>
        <w:tblW w:w="9360" w:type="dxa"/>
        <w:tblInd w:w="-10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/>
      </w:tblPr>
      <w:tblGrid>
        <w:gridCol w:w="5531"/>
        <w:gridCol w:w="1844"/>
        <w:gridCol w:w="1985"/>
      </w:tblGrid>
      <w:tr w:rsidR="009C34DB">
        <w:trPr>
          <w:trHeight w:val="458"/>
        </w:trPr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Утверждено решением о бюджете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Фактическое исполнение за 2025 год</w:t>
            </w:r>
          </w:p>
        </w:tc>
      </w:tr>
      <w:tr w:rsidR="009C34DB">
        <w:trPr>
          <w:trHeight w:val="235"/>
        </w:trPr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Дефицит бюджета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128095,3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0,0</w:t>
            </w:r>
          </w:p>
        </w:tc>
      </w:tr>
      <w:tr w:rsidR="009C34DB">
        <w:trPr>
          <w:trHeight w:val="458"/>
        </w:trPr>
        <w:tc>
          <w:tcPr>
            <w:tcW w:w="55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Источники внутреннего финансирования  дефицитов бюджетов: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 </w:t>
            </w:r>
          </w:p>
        </w:tc>
      </w:tr>
      <w:tr w:rsidR="009C34DB">
        <w:trPr>
          <w:trHeight w:val="487"/>
        </w:trPr>
        <w:tc>
          <w:tcPr>
            <w:tcW w:w="55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 </w:t>
            </w:r>
          </w:p>
        </w:tc>
      </w:tr>
      <w:tr w:rsidR="009C34DB">
        <w:trPr>
          <w:trHeight w:val="301"/>
        </w:trPr>
        <w:tc>
          <w:tcPr>
            <w:tcW w:w="55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3337,1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</w:t>
            </w:r>
          </w:p>
        </w:tc>
      </w:tr>
      <w:tr w:rsidR="009C34DB">
        <w:trPr>
          <w:trHeight w:val="547"/>
        </w:trPr>
        <w:tc>
          <w:tcPr>
            <w:tcW w:w="55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9C34DB">
        <w:trPr>
          <w:trHeight w:val="465"/>
        </w:trPr>
        <w:tc>
          <w:tcPr>
            <w:tcW w:w="55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 </w:t>
            </w:r>
          </w:p>
        </w:tc>
      </w:tr>
      <w:tr w:rsidR="009C34DB">
        <w:trPr>
          <w:trHeight w:val="840"/>
        </w:trPr>
        <w:tc>
          <w:tcPr>
            <w:tcW w:w="55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9C34DB">
        <w:trPr>
          <w:trHeight w:val="840"/>
        </w:trPr>
        <w:tc>
          <w:tcPr>
            <w:tcW w:w="55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9C34DB">
        <w:trPr>
          <w:trHeight w:val="70"/>
        </w:trPr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854499,8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-1416,2</w:t>
            </w:r>
          </w:p>
        </w:tc>
      </w:tr>
      <w:tr w:rsidR="009C34DB">
        <w:trPr>
          <w:trHeight w:val="387"/>
        </w:trPr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9C34DB">
        <w:trPr>
          <w:trHeight w:val="387"/>
        </w:trPr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>Отношение размера дефицита к годовому объему доходов бюджета муниципального образования без учета объема безвозмездных поступлений, в %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9C34DB" w:rsidRDefault="00B375F4">
      <w:pPr>
        <w:ind w:firstLine="72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> </w:t>
      </w:r>
    </w:p>
    <w:p w:rsidR="009C34DB" w:rsidRDefault="00B375F4">
      <w:pPr>
        <w:jc w:val="both"/>
        <w:rPr>
          <w:color w:val="000000"/>
        </w:rPr>
      </w:pPr>
      <w:r>
        <w:rPr>
          <w:rFonts w:ascii="Calibri" w:eastAsia="Calibri" w:hAnsi="Calibri" w:cs="Calibri"/>
          <w:i/>
          <w:color w:val="FF0000"/>
          <w:sz w:val="28"/>
          <w:szCs w:val="28"/>
        </w:rPr>
        <w:t> </w:t>
      </w:r>
    </w:p>
    <w:tbl>
      <w:tblPr>
        <w:tblW w:w="9360" w:type="dxa"/>
        <w:tblInd w:w="-10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/>
      </w:tblPr>
      <w:tblGrid>
        <w:gridCol w:w="5531"/>
        <w:gridCol w:w="1844"/>
        <w:gridCol w:w="1985"/>
      </w:tblGrid>
      <w:tr w:rsidR="009C34DB">
        <w:trPr>
          <w:trHeight w:val="199"/>
        </w:trPr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Утверждено решением о бюджете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shd w:val="clear" w:color="auto" w:fill="FFFFFF"/>
              <w:jc w:val="center"/>
              <w:rPr>
                <w:color w:val="000000"/>
                <w:shd w:val="clear" w:color="auto" w:fill="FFFFFF"/>
              </w:rPr>
            </w:pPr>
            <w:r>
              <w:rPr>
                <w:rFonts w:ascii="Calibri" w:eastAsia="Calibri" w:hAnsi="Calibri" w:cs="Calibri"/>
                <w:color w:val="000000"/>
              </w:rPr>
              <w:t>Фактическое исполнение за 2025 год</w:t>
            </w:r>
          </w:p>
        </w:tc>
      </w:tr>
      <w:tr w:rsidR="009C34DB">
        <w:trPr>
          <w:trHeight w:val="199"/>
        </w:trPr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Объем муниципального долга, тыс. руб.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shd w:val="clear" w:color="auto" w:fill="FFFFFF"/>
              <w:jc w:val="center"/>
              <w:rPr>
                <w:color w:val="000000"/>
                <w:shd w:val="clear" w:color="auto" w:fill="FFFFFF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9C34DB">
        <w:trPr>
          <w:trHeight w:val="1054"/>
        </w:trPr>
        <w:tc>
          <w:tcPr>
            <w:tcW w:w="55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34DB" w:rsidRDefault="00B375F4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Отношение объема муниципального долга к годовому объему доходов бюджета муниципального образования без учета объема безвозмездных поступлений, в 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</w:t>
            </w:r>
          </w:p>
        </w:tc>
      </w:tr>
    </w:tbl>
    <w:p w:rsidR="009C34DB" w:rsidRDefault="00B375F4">
      <w:pPr>
        <w:jc w:val="both"/>
        <w:rPr>
          <w:color w:val="000000"/>
        </w:rPr>
      </w:pPr>
      <w:r>
        <w:rPr>
          <w:rFonts w:ascii="Calibri" w:eastAsia="Calibri" w:hAnsi="Calibri" w:cs="Calibri"/>
          <w:i/>
          <w:color w:val="FF0000"/>
          <w:sz w:val="28"/>
          <w:szCs w:val="28"/>
        </w:rPr>
        <w:t> </w:t>
      </w:r>
    </w:p>
    <w:p w:rsidR="009C34DB" w:rsidRDefault="00B375F4">
      <w:pPr>
        <w:spacing w:line="276" w:lineRule="auto"/>
        <w:jc w:val="center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РАСХОДЫ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2025 году бюджет муниципального образования "Чемальский район" сохранил социальную направленность налоговой и бюджетной политики. Главными распорядителями, бюджетными и автономными учреждениями проводилась работа по реализации ведомственных планов оптимизации бюджетных расходов, продолжается работа по формированию расходов в соответствии с принципами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бюджетирования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ориентированного на результат, в связи с этим реализуются муниципальные целевые программы  и проводится оценка эффективности их реализации. Основными направлениям расходов консолидированного бюджета муниципального образования"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Чемальскй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" в 2025году явились расходы на :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оплаты труда работникам бюджетной сферы , обеспечение платежей в бюджет;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Оказание мер социальной поддержки льготной категории граждан, в том числе меры по оказанию социальной поддержки участникам специальной военной операции и их семей;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Представление муниципальных услуг в соответствии со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ситандартами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качества для повышения степени удовлетворенности  и качество жизни населения Чемальского района ;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Осуществление закупок и бюджетных инвестиций в рамках реализации национальных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ппроектов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Развитие инфраструктуры для развития туризма, капитальный ремонт  детских дошкольных образовательных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учреждений,текущий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ремонт учреждений образования.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Расходы консолидированного бюджета Чемальского района осуществляются в программном формате. Формирование бюджетов в программном формате позволяет обеспечить взаимосвязь  использованных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бюджетных средств с достигнутыми результатами и повысить эффективность бюджетных расходов .</w:t>
      </w:r>
    </w:p>
    <w:p w:rsidR="009C34DB" w:rsidRDefault="00B375F4">
      <w:pPr>
        <w:spacing w:line="276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Расходы муниципального образования  составили  1104409,1 тыс. рублей, что составляет 94,3 % к годовому плану  (1170903,7 тыс. рублей). </w:t>
      </w:r>
    </w:p>
    <w:p w:rsidR="009C34DB" w:rsidRDefault="00B375F4">
      <w:pPr>
        <w:spacing w:line="276" w:lineRule="auto"/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Доля программных расходов составила 94,9% (исполнено в сумме 849179,3 тыс. рублей, при плане 873778,5 тыс. рублей),  реализация которых осуществлялась в рамках 4 муниципальных программ.</w:t>
      </w:r>
    </w:p>
    <w:p w:rsidR="009C34DB" w:rsidRDefault="00B375F4">
      <w:pPr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структуре расходов местного бюджета наибольший удельный вес приходится на следующие разделы:</w:t>
      </w:r>
    </w:p>
    <w:p w:rsidR="009C34DB" w:rsidRDefault="00B375F4">
      <w:pPr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-образование в сумме 630397,9 тыс. рублей или 57,1%;</w:t>
      </w:r>
    </w:p>
    <w:p w:rsidR="009C34DB" w:rsidRDefault="00B375F4">
      <w:pPr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-жилищно-коммунальное хозяйство в сумме 221919,7 тыс. рублей или 20,1%;</w:t>
      </w:r>
    </w:p>
    <w:p w:rsidR="009C34DB" w:rsidRDefault="00B375F4">
      <w:pPr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общегосударственные вопросы в сумме 92869,9 тыс. рублей или 8,4%;</w:t>
      </w:r>
    </w:p>
    <w:p w:rsidR="009C34DB" w:rsidRDefault="00B375F4">
      <w:pPr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-культура и кинематография в сумме 83135,9 тыс. рублей или 7,5%;</w:t>
      </w:r>
    </w:p>
    <w:p w:rsidR="009C34DB" w:rsidRDefault="00B375F4">
      <w:pPr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-межбюджетные трансферты в сумме 34464,6 тыс. рублей или 3,1%.</w:t>
      </w:r>
    </w:p>
    <w:p w:rsidR="009C34DB" w:rsidRDefault="00B375F4">
      <w:pPr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-национальная экономика в сумме 18892,9 тыс. рублей или 1,7%;</w:t>
      </w:r>
    </w:p>
    <w:p w:rsidR="009C34DB" w:rsidRDefault="00B375F4">
      <w:pPr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-физическая культура и спорт в сумме 11177,8 тыс. рублей или 1,0%;</w:t>
      </w:r>
    </w:p>
    <w:p w:rsidR="009C34DB" w:rsidRDefault="00B375F4">
      <w:pPr>
        <w:ind w:firstLine="70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-средства массовой информации в сумме 5782,0 тыс. рублей или 0,5%.</w:t>
      </w:r>
    </w:p>
    <w:p w:rsidR="009C34DB" w:rsidRDefault="00B375F4">
      <w:pP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 общих расходов бюджета 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615311,0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тыс. рублей или 55,7 %, направлено на оплату труда с начислением работников бюджетной сферы, рост по сравнению с 2024 годом  составил 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84772,4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тыс. рублей (ФОТ 2024г. 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530538,6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тыс. рублей), или 116,0%.</w:t>
      </w:r>
    </w:p>
    <w:p w:rsidR="009C34DB" w:rsidRDefault="00B375F4">
      <w:pP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C34DB" w:rsidRDefault="00B375F4">
      <w:pPr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 </w:t>
      </w:r>
    </w:p>
    <w:p w:rsidR="009C34DB" w:rsidRDefault="00B375F4">
      <w:pPr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 </w:t>
      </w:r>
    </w:p>
    <w:p w:rsidR="009C34DB" w:rsidRDefault="00B375F4">
      <w:pPr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РАЗДЕЛ  4 «АНАЛИЗ ПОКАЗАТЕЛЕЙ БУХГАЛТЕРСКОЙ ОТЧЕТНОСТИ СУБЪЕКТА БЮДЖЕТНОЙ ОТЧЕТНОСТИ»</w:t>
      </w:r>
    </w:p>
    <w:p w:rsidR="009C34DB" w:rsidRDefault="00B375F4">
      <w:pPr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C34DB" w:rsidRDefault="00B375F4">
      <w:pPr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Консолидированный бюджет муниципального образования" Чемальский район " в 2025году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исполнен по доходам в сумме 1233759883,58 рублей или 102,4% к уточненному плану в сумме 508540804,73 рублей, в том числе налоговые и неналоговые доходы исполнены в сумме 472357222,85 рублей  или 99,2 % к уточненному плану в сумме 476300747,00 рублей .</w:t>
      </w:r>
    </w:p>
    <w:p w:rsidR="009C34DB" w:rsidRDefault="00B375F4">
      <w:pPr>
        <w:ind w:firstLine="72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Бюджет муниципального образования Чемальский район в 2025году исполнен в сумме 1115842957,55 или на 99,9 к уточненному плану в сумме 1116371294,90 рублей . в том числе налоговые и неналоговые доходы исполнены в сумме357081823,99 рублей или на 100% 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уточненому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плану в сумме 357031156,00рублей.</w:t>
      </w:r>
    </w:p>
    <w:p w:rsidR="009C34DB" w:rsidRDefault="00B375F4">
      <w:pPr>
        <w:ind w:left="720" w:firstLine="72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C34DB" w:rsidRDefault="00B375F4">
      <w:pPr>
        <w:ind w:left="720" w:firstLine="720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РАЗДЕЛ 5 "Прочие вопросы деятельности субъекта бюджетной отчетности"</w:t>
      </w:r>
    </w:p>
    <w:p w:rsidR="009C34DB" w:rsidRDefault="00B375F4">
      <w:pPr>
        <w:ind w:left="720" w:firstLine="720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 </w:t>
      </w:r>
    </w:p>
    <w:p w:rsidR="009C34DB" w:rsidRDefault="00B375F4">
      <w:pPr>
        <w:ind w:left="720" w:firstLine="720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 </w:t>
      </w:r>
    </w:p>
    <w:p w:rsidR="009C34DB" w:rsidRDefault="00B375F4">
      <w:pPr>
        <w:ind w:left="720" w:firstLine="720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 </w:t>
      </w:r>
    </w:p>
    <w:p w:rsidR="009C34DB" w:rsidRDefault="00B375F4">
      <w:pPr>
        <w:ind w:left="720" w:firstLine="720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Пояснения, требуемые в протоколах контроля отчетности</w:t>
      </w:r>
    </w:p>
    <w:p w:rsidR="009C34DB" w:rsidRDefault="00B375F4">
      <w:pPr>
        <w:ind w:left="720" w:firstLine="720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</w:p>
    <w:p w:rsidR="009C34DB" w:rsidRDefault="00B375F4">
      <w:pPr>
        <w:shd w:val="clear" w:color="auto" w:fill="FFFFFF"/>
        <w:spacing w:after="120"/>
        <w:ind w:firstLine="720"/>
        <w:jc w:val="both"/>
        <w:rPr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Внутридокументный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контроль</w:t>
      </w:r>
    </w:p>
    <w:p w:rsidR="009C34DB" w:rsidRDefault="00B375F4">
      <w:pPr>
        <w:shd w:val="clear" w:color="auto" w:fill="FFFFFF"/>
        <w:spacing w:after="120"/>
        <w:jc w:val="both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9C34DB" w:rsidRDefault="00B375F4">
      <w:pPr>
        <w:shd w:val="clear" w:color="auto" w:fill="FFFFFF"/>
        <w:spacing w:after="120"/>
        <w:ind w:firstLine="720"/>
        <w:jc w:val="both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Форма 0503320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наличие отрицательного значения в сумме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40 156,25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руб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отражается сальдо на начало года поясняется уточнением невыясненных платежей прошлых лет , которые в учете отражаются в отрицательном значении. Сальдо на конец года отсутствует.</w:t>
      </w:r>
    </w:p>
    <w:p w:rsidR="009C34DB" w:rsidRDefault="00B375F4">
      <w:pPr>
        <w:shd w:val="clear" w:color="auto" w:fill="FFFFFF"/>
        <w:spacing w:after="120"/>
        <w:jc w:val="both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Форма 0503321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пояснения по отрицательным показателям в сумме "минус"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569 668,37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руб., по строке 093 отражены операции от реализации активов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основных средств, нематериальных активов,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непроизведённых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активов, материальных запасов, иных</w:t>
      </w:r>
      <w:bookmarkStart w:id="0" w:name="_dx_frag_EndFragment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оборотных активов учреждений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отделу образования Администрации Чемальского района.</w:t>
      </w:r>
    </w:p>
    <w:p w:rsidR="009C34DB" w:rsidRDefault="00B375F4">
      <w:pPr>
        <w:shd w:val="clear" w:color="auto" w:fill="FFFFFF"/>
        <w:spacing w:after="120"/>
        <w:ind w:firstLine="720"/>
        <w:jc w:val="both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по строке 093  формы отражены показатели в сумме "минус"                      547 994,78 руб. отражена переоценка кадастровой стоимости земельных участков </w:t>
      </w:r>
      <w:bookmarkStart w:id="1" w:name="_dx_frag_StartFragment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сельских поселений .</w:t>
      </w:r>
    </w:p>
    <w:p w:rsidR="009C34DB" w:rsidRDefault="00B375F4">
      <w:pPr>
        <w:shd w:val="clear" w:color="auto" w:fill="FFFFFF"/>
        <w:spacing w:after="120"/>
        <w:ind w:firstLine="720"/>
        <w:jc w:val="both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Форма 0503368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строке 560  отражены вложения в объекты муниципальной казны в сумме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4 198 320.00 руб.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Согласно решения суда приобретена однокомнатная квартира для инвалида детства в с.Чемал, по ул. Молодежная 11/3 . Имущество отражено капитальными вложениями в объекты муниципальной казны, по причине несвоевременного оформления документов по передаче в собственность(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собственик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жилья находился на лечении в госпитале).</w:t>
      </w:r>
    </w:p>
    <w:p w:rsidR="009C34DB" w:rsidRDefault="00B375F4">
      <w:pPr>
        <w:shd w:val="clear" w:color="auto" w:fill="FFFFFF"/>
        <w:spacing w:after="120"/>
        <w:ind w:firstLine="720"/>
        <w:jc w:val="both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Форма 0503369 БК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счету 30301001, кредитовый остаток в суммах            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15 132,00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рубля 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910,00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рублей установлен по причине некорректного оформления платежных документов на перечисление, платежи производились в последний рабочий день 30 декабря 2025г. От УФК получен протокол ошибок, исправление которых текущим годом было не возможно.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Задолженость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уплате подоходного налога перечислена 15 января 2026года .</w:t>
      </w:r>
    </w:p>
    <w:p w:rsidR="009C34DB" w:rsidRDefault="00B375F4">
      <w:pPr>
        <w:jc w:val="both"/>
        <w:rPr>
          <w:color w:val="000000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Междокументный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контроль:</w:t>
      </w:r>
    </w:p>
    <w:p w:rsidR="009C34DB" w:rsidRDefault="00B375F4">
      <w:pP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Форма 0503371 с формой 410Gm, 0503790,0503373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отражена разница по расчетам с учредителями   в сумме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24 054 591,96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по коду 11109000000140110172 по причине того что, в соответствии с приказом Министерства экономического развития Республики Алтай  № 328-ОД от 11.11.2022г. и распоряжения Главы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Чемальского района от №43-р от 03 февраля 2025г.проведена переоценка муниципального имущества и отражены поступления от переоценки имущества казны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оприходования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безхозного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имущества по Администрации района и сельскими поселениями района.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Форма 0503320 с формой 410Gm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строка баланса 070 начало и конец, предупреждение в сумме  1 684 844 712,97 руб., в течении финансового 2025 года, в соответствии с приказом Министерства экономического развития Республики Алтай  № 328-ОД от 11.11.2022г. и распоряжения Главы Чемальского района от 03 февраля 2025г. № 32-р проводилась переоценка имущества казны по земельным участкам   собственник которого  еще не определен по муниципальному образованию "Чемальский район" и сельскими поселениями Чемальского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района,а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также проведена переоценка    по переданным и   полученным земельным участкам . 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Форма 0503320 с формой 0503317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справки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забалансовому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счету 19, дает ошибку на сальдо на начало года, платежей по невыясненным поступлениям за 2025год нет, поэтому в форме отчетности 0503317 не отражаются.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Форма 0503369 с формой 0503769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предупреждение по счету 130/40140131 отражены сумма остатка денежных средств по муниципальному заданию   по бюджетным и автономным учреждениям на начало года в сумме          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2 285 253,23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руб. на конец отчетного года в сумме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17 346 437,97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руб., наличие остатка по счетам бюджетного учета по данным учредителя невозможно, по причине выполнения муниципального задания в полном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обьеме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(экономия).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Форма ПР-1313 с формой 0503369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расхождение в сумме 6 547 228,64 руб.., поясняется следующими причинами в форме ПР-1313 отражены сумму штрафов по которым приняты судебные решения и оплачены в течении отчетного года. Доходы по счетам 1 205 21, 1 205 23, 1 209 36, 1 205 45 отраженные в форме 0503369 начислены согласно договоров аренды, решений комиссий и протоколов заседаний , оплата производится согласно графика гашения и согласованных(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скоректированных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сроков оплаты. Только в случае злостных и долговременных сроков не уплаты платежей и длительной претензионной работы( телефонные звонки и письма с просьбой оплаты) выносится решение о формировании и направлении дела в судебные органы.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Форма 0503387М и 0503387G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по строке 00200 гр.27 и г.р41 разница в сумме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94 800,00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руб. Ошибочно в отчетности за декабрь 2025г. дважды отражены расходы по реализации мероприятий по предупреждению и ликвидации болезней животных, их лечению, защите населения от болезней, общих для человека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животных, в части обустройства и содержания мест утилизации биологических отходов (скотомогильников, биотермических ям, крематоров,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инсинераторов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по строке 12300 гр.27 и гр.41 в отчетности за декабрь отражены не корректные данные по наличию дебиторской задолженности по расходам муниципального района. В гр.48 данные сельских поселений не проставлены. Выше изложенные ошибки были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скоректированы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годовой отчетности за 2025г по форме 0503387G.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Форма 410Gm с формой 0503710,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расхождения на сумму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6 402 857,14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руб. связано с отражением передачи имущества из бюджета сельского поселения в республиканский бюджет получателю - БУ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Чемальская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районная больница Министерства здравоохранения Республики Алтай.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Форма 410 с формой 401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расхождения по коду аналитики 194 и виду расходов 804 связаны с отражением консолидированных расчетов  ф. 0503121 и 0503110.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C34DB" w:rsidRDefault="00B375F4">
      <w:pPr>
        <w:ind w:firstLine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C34DB" w:rsidRDefault="00B375F4">
      <w:pPr>
        <w:shd w:val="clear" w:color="auto" w:fill="FFFFFF"/>
        <w:spacing w:after="120"/>
        <w:ind w:firstLine="720"/>
        <w:jc w:val="both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9C34DB" w:rsidRDefault="00B375F4">
      <w:pPr>
        <w:shd w:val="clear" w:color="auto" w:fill="FFFFFF"/>
        <w:spacing w:after="120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C34DB" w:rsidRDefault="00B375F4">
      <w:pPr>
        <w:shd w:val="clear" w:color="auto" w:fill="FFFFFF"/>
        <w:spacing w:after="120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C34DB" w:rsidRDefault="00B375F4">
      <w:pPr>
        <w:shd w:val="clear" w:color="auto" w:fill="FFFFFF"/>
        <w:spacing w:after="120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</w:p>
    <w:p w:rsidR="009C34DB" w:rsidRDefault="00B375F4">
      <w:pP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C34DB" w:rsidRDefault="00B375F4">
      <w:pPr>
        <w:rPr>
          <w:color w:val="000000"/>
        </w:rPr>
      </w:pPr>
      <w:r>
        <w:rPr>
          <w:rFonts w:ascii="Calibri" w:eastAsia="Calibri" w:hAnsi="Calibri" w:cs="Calibri"/>
          <w:color w:val="000000"/>
        </w:rPr>
        <w:t> </w:t>
      </w:r>
    </w:p>
    <w:p w:rsidR="009C34DB" w:rsidRDefault="009C34DB"/>
    <w:p w:rsidR="009C34DB" w:rsidRDefault="00B375F4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C34DB" w:rsidRDefault="00B375F4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C34DB" w:rsidRDefault="00B375F4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960" w:type="dxa"/>
        <w:tblInd w:w="-34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/>
      </w:tblPr>
      <w:tblGrid>
        <w:gridCol w:w="2540"/>
        <w:gridCol w:w="4585"/>
        <w:gridCol w:w="3099"/>
      </w:tblGrid>
      <w:tr w:rsidR="009C34DB"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42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u w:val="single"/>
              </w:rPr>
              <w:drawing>
                <wp:inline distT="0" distB="0" distL="0" distR="0">
                  <wp:extent cx="2857500" cy="9525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Тоорчукова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Любовь Викторовна</w:t>
            </w:r>
          </w:p>
        </w:tc>
      </w:tr>
      <w:tr w:rsidR="009C34DB">
        <w:trPr>
          <w:trHeight w:val="280"/>
        </w:trPr>
        <w:tc>
          <w:tcPr>
            <w:tcW w:w="25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4DB" w:rsidRDefault="009C34DB">
            <w:pPr>
              <w:rPr>
                <w:sz w:val="24"/>
              </w:rPr>
            </w:pPr>
          </w:p>
        </w:tc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(подпись)</w:t>
            </w:r>
          </w:p>
        </w:tc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(расшифровка подписи)</w:t>
            </w:r>
          </w:p>
        </w:tc>
      </w:tr>
      <w:tr w:rsidR="009C34DB">
        <w:trPr>
          <w:trHeight w:val="281"/>
        </w:trPr>
        <w:tc>
          <w:tcPr>
            <w:tcW w:w="9954" w:type="dxa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34DB">
        <w:trPr>
          <w:trHeight w:val="281"/>
        </w:trPr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планово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9C34DB">
            <w:pPr>
              <w:rPr>
                <w:sz w:val="24"/>
              </w:rPr>
            </w:pPr>
          </w:p>
        </w:tc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9C34DB">
            <w:pPr>
              <w:rPr>
                <w:sz w:val="24"/>
              </w:rPr>
            </w:pPr>
          </w:p>
        </w:tc>
      </w:tr>
      <w:tr w:rsidR="009C34DB">
        <w:trPr>
          <w:trHeight w:val="281"/>
        </w:trPr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экономической службы</w:t>
            </w:r>
          </w:p>
        </w:tc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(подпись)</w:t>
            </w:r>
          </w:p>
        </w:tc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(расшифровка подписи)</w:t>
            </w:r>
          </w:p>
        </w:tc>
      </w:tr>
      <w:tr w:rsidR="009C34DB">
        <w:trPr>
          <w:trHeight w:val="281"/>
        </w:trPr>
        <w:tc>
          <w:tcPr>
            <w:tcW w:w="9954" w:type="dxa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4DB" w:rsidRDefault="009C34DB">
            <w:pPr>
              <w:rPr>
                <w:sz w:val="24"/>
              </w:rPr>
            </w:pPr>
          </w:p>
        </w:tc>
      </w:tr>
      <w:tr w:rsidR="009C34DB">
        <w:trPr>
          <w:trHeight w:val="281"/>
        </w:trPr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Главный</w:t>
            </w:r>
          </w:p>
        </w:tc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ind w:left="-139" w:right="-288" w:firstLine="3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u w:val="single"/>
              </w:rPr>
              <w:drawing>
                <wp:inline distT="0" distB="0" distL="0" distR="0">
                  <wp:extent cx="2857500" cy="9525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34DB" w:rsidRDefault="009C34DB">
            <w:pPr>
              <w:rPr>
                <w:sz w:val="24"/>
              </w:rPr>
            </w:pPr>
          </w:p>
        </w:tc>
      </w:tr>
      <w:tr w:rsidR="009C34DB">
        <w:trPr>
          <w:trHeight w:val="281"/>
        </w:trPr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(подпись)</w:t>
            </w:r>
          </w:p>
        </w:tc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(расшифровка подписи)</w:t>
            </w:r>
          </w:p>
        </w:tc>
      </w:tr>
      <w:tr w:rsidR="009C34DB">
        <w:trPr>
          <w:trHeight w:val="449"/>
        </w:trPr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B375F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«____»______20____г.</w:t>
            </w:r>
          </w:p>
        </w:tc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9C34DB">
            <w:pPr>
              <w:rPr>
                <w:sz w:val="24"/>
              </w:rPr>
            </w:pPr>
          </w:p>
        </w:tc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34DB" w:rsidRDefault="009C34DB">
            <w:pPr>
              <w:rPr>
                <w:sz w:val="24"/>
              </w:rPr>
            </w:pPr>
          </w:p>
        </w:tc>
      </w:tr>
    </w:tbl>
    <w:p w:rsidR="009C34DB" w:rsidRDefault="00B375F4">
      <w:r>
        <w:rPr>
          <w:rFonts w:ascii="Times New Roman" w:eastAsia="Times New Roman" w:hAnsi="Times New Roman" w:cs="Times New Roman"/>
          <w:sz w:val="24"/>
          <w:szCs w:val="24"/>
        </w:rPr>
        <w:t>Документ подписан электронной подписью. Дата представления 12.02.2026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Главный бухгалтер(Сергеева Маргарита Борисовна, Сертификат: 00DB991413A0B99B81C5DE7BC6EB58A95A, Действителен: с 16.12.2025 по 11.03.2027),Руководитель(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Тоорчукова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Любовь Викторовна, Сертификат: 1B17C5034720BDAA494EF3780B172009, Действителен: с 22.12.2025 по 17.03.2027)        </w:t>
      </w:r>
    </w:p>
    <w:sectPr w:rsidR="009C34DB" w:rsidSect="005D0555">
      <w:pgSz w:w="12240" w:h="15840"/>
      <w:pgMar w:top="850" w:right="1133" w:bottom="1700" w:left="1133" w:header="708" w:footer="708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9C34DB"/>
    <w:rsid w:val="005D0555"/>
    <w:rsid w:val="00604F73"/>
    <w:rsid w:val="0068529E"/>
    <w:rsid w:val="006B3AD5"/>
    <w:rsid w:val="009C34DB"/>
    <w:rsid w:val="00B37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C34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neNumber">
    <w:name w:val="Line Number"/>
    <w:basedOn w:val="a0"/>
    <w:semiHidden/>
    <w:rsid w:val="009C34DB"/>
  </w:style>
  <w:style w:type="character" w:styleId="a3">
    <w:name w:val="Hyperlink"/>
    <w:rsid w:val="009C34DB"/>
    <w:rPr>
      <w:color w:val="0000FF"/>
      <w:u w:val="single"/>
    </w:rPr>
  </w:style>
  <w:style w:type="table" w:styleId="1">
    <w:name w:val="Table Simple 1"/>
    <w:basedOn w:val="a1"/>
    <w:rsid w:val="009C34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375F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75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7EAADF"/>
      </a:accent1>
      <a:accent2>
        <a:srgbClr val="EA726F"/>
      </a:accent2>
      <a:accent3>
        <a:srgbClr val="A9D774"/>
      </a:accent3>
      <a:accent4>
        <a:srgbClr val="A78BC9"/>
      </a:accent4>
      <a:accent5>
        <a:srgbClr val="78CBE1"/>
      </a:accent5>
      <a:accent6>
        <a:srgbClr val="FCBF8C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4798</Words>
  <Characters>27349</Characters>
  <Application>Microsoft Office Word</Application>
  <DocSecurity>0</DocSecurity>
  <Lines>227</Lines>
  <Paragraphs>64</Paragraphs>
  <ScaleCrop>false</ScaleCrop>
  <Company/>
  <LinksUpToDate>false</LinksUpToDate>
  <CharactersWithSpaces>32083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GL-BUH</dc:creator>
  <cp:lastModifiedBy>GL-BUH</cp:lastModifiedBy>
  <cp:revision>4</cp:revision>
  <dcterms:created xsi:type="dcterms:W3CDTF">2026-05-12T07:51:00Z</dcterms:created>
  <dcterms:modified xsi:type="dcterms:W3CDTF">2026-05-12T09:57:00Z</dcterms:modified>
</cp:coreProperties>
</file>