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1E" w:rsidRDefault="0006661E">
      <w:pPr>
        <w:pStyle w:val="ConsPlusNormal"/>
        <w:jc w:val="right"/>
        <w:outlineLvl w:val="0"/>
      </w:pPr>
      <w:r>
        <w:t>Приложение 4</w:t>
      </w:r>
    </w:p>
    <w:p w:rsidR="0006661E" w:rsidRDefault="0006661E">
      <w:pPr>
        <w:pStyle w:val="ConsPlusNormal"/>
        <w:jc w:val="right"/>
      </w:pPr>
      <w:r>
        <w:t>к Закону</w:t>
      </w:r>
    </w:p>
    <w:p w:rsidR="0006661E" w:rsidRDefault="0006661E">
      <w:pPr>
        <w:pStyle w:val="ConsPlusNormal"/>
        <w:jc w:val="right"/>
      </w:pPr>
      <w:r>
        <w:t>Республики Алтай</w:t>
      </w:r>
    </w:p>
    <w:p w:rsidR="0006661E" w:rsidRDefault="0006661E">
      <w:pPr>
        <w:pStyle w:val="ConsPlusNormal"/>
        <w:jc w:val="right"/>
      </w:pPr>
      <w:r>
        <w:t>"О межбюджетных трансфертах</w:t>
      </w:r>
    </w:p>
    <w:p w:rsidR="0006661E" w:rsidRDefault="0006661E">
      <w:pPr>
        <w:pStyle w:val="ConsPlusNormal"/>
        <w:jc w:val="right"/>
      </w:pPr>
      <w:r>
        <w:t>в Республике Алтай"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</w:pPr>
      <w:r>
        <w:t>МЕТОДИКА</w:t>
      </w:r>
    </w:p>
    <w:p w:rsidR="0006661E" w:rsidRDefault="0006661E">
      <w:pPr>
        <w:pStyle w:val="ConsPlusTitle"/>
        <w:jc w:val="center"/>
      </w:pPr>
      <w:r>
        <w:t>РАСЧЕТА ДОТАЦИЙ НА ВЫРАВНИВАНИЕ БЮДЖЕТНОЙ ОБЕСПЕЧЕННОСТИ</w:t>
      </w:r>
    </w:p>
    <w:p w:rsidR="0006661E" w:rsidRDefault="0006661E">
      <w:pPr>
        <w:pStyle w:val="ConsPlusTitle"/>
        <w:jc w:val="center"/>
      </w:pPr>
      <w:r>
        <w:t>ПОСЕЛЕНИЙ В РЕСПУБЛИКЕ АЛТАЙ ИЗ БЮДЖЕТА МУНИЦИПАЛЬНОГО</w:t>
      </w:r>
    </w:p>
    <w:p w:rsidR="0006661E" w:rsidRDefault="0006661E">
      <w:pPr>
        <w:pStyle w:val="ConsPlusTitle"/>
        <w:jc w:val="center"/>
      </w:pPr>
      <w:r>
        <w:t>РАЙОНА В РЕСПУБЛИКЕ АЛТАЙ</w:t>
      </w:r>
    </w:p>
    <w:p w:rsidR="0006661E" w:rsidRDefault="000666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666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61E" w:rsidRDefault="000666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61E" w:rsidRDefault="000666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61E" w:rsidRDefault="000666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61E" w:rsidRDefault="0006661E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06661E" w:rsidRDefault="000666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19.04.2013 </w:t>
            </w:r>
            <w:hyperlink r:id="rId4">
              <w:r>
                <w:rPr>
                  <w:color w:val="0000FF"/>
                </w:rPr>
                <w:t>N 21-РЗ</w:t>
              </w:r>
            </w:hyperlink>
            <w:r>
              <w:rPr>
                <w:color w:val="392C69"/>
              </w:rPr>
              <w:t xml:space="preserve">, от 25.11.2014 </w:t>
            </w:r>
            <w:hyperlink r:id="rId5">
              <w:r>
                <w:rPr>
                  <w:color w:val="0000FF"/>
                </w:rPr>
                <w:t>N 80-РЗ</w:t>
              </w:r>
            </w:hyperlink>
            <w:r>
              <w:rPr>
                <w:color w:val="392C69"/>
              </w:rPr>
              <w:t xml:space="preserve">, от 26.12.2014 </w:t>
            </w:r>
            <w:hyperlink r:id="rId6">
              <w:r>
                <w:rPr>
                  <w:color w:val="0000FF"/>
                </w:rPr>
                <w:t>N 100-РЗ</w:t>
              </w:r>
            </w:hyperlink>
            <w:r>
              <w:rPr>
                <w:color w:val="392C69"/>
              </w:rPr>
              <w:t>,</w:t>
            </w:r>
          </w:p>
          <w:p w:rsidR="0006661E" w:rsidRDefault="000666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06.12.2019 </w:t>
            </w:r>
            <w:hyperlink r:id="rId7">
              <w:r>
                <w:rPr>
                  <w:color w:val="0000FF"/>
                </w:rPr>
                <w:t>N 62-РЗ</w:t>
              </w:r>
            </w:hyperlink>
            <w:r>
              <w:rPr>
                <w:color w:val="392C69"/>
              </w:rPr>
              <w:t xml:space="preserve">, от 26.10.2021 </w:t>
            </w:r>
            <w:hyperlink r:id="rId8">
              <w:r>
                <w:rPr>
                  <w:color w:val="0000FF"/>
                </w:rPr>
                <w:t>N 66-РЗ</w:t>
              </w:r>
            </w:hyperlink>
            <w:r>
              <w:rPr>
                <w:color w:val="392C69"/>
              </w:rPr>
              <w:t xml:space="preserve">, от 27.11.2023 </w:t>
            </w:r>
            <w:hyperlink r:id="rId9">
              <w:r>
                <w:rPr>
                  <w:color w:val="0000FF"/>
                </w:rPr>
                <w:t>N 93-РЗ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61E" w:rsidRDefault="0006661E">
            <w:pPr>
              <w:pStyle w:val="ConsPlusNormal"/>
            </w:pPr>
          </w:p>
        </w:tc>
      </w:tr>
    </w:tbl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1"/>
      </w:pPr>
      <w:r>
        <w:t>Введение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Настоящая Методика определяет: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1) порядок расчета общего объема дотаций на выравнивание бюджетной обеспеченности городских, сельских поселений в Республике Алтай (далее - поселения);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Закона</w:t>
        </w:r>
      </w:hyperlink>
      <w:r>
        <w:t xml:space="preserve"> Республики Алтай от 06.12.2019 N 62-РЗ)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порядок распределения дотаций на выравнивание бюджетной обеспеченности поселений в Республике Алтай.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Закона</w:t>
        </w:r>
      </w:hyperlink>
      <w:r>
        <w:t xml:space="preserve"> Республики Алтай от 06.12.2019 N 62-РЗ)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1"/>
      </w:pPr>
      <w:r>
        <w:t>1. Порядок расчета общего объема дотаций на выравнивание</w:t>
      </w:r>
    </w:p>
    <w:p w:rsidR="0006661E" w:rsidRDefault="0006661E">
      <w:pPr>
        <w:pStyle w:val="ConsPlusTitle"/>
        <w:jc w:val="center"/>
      </w:pPr>
      <w:r>
        <w:t>бюджетной обеспеченности поселений</w:t>
      </w:r>
    </w:p>
    <w:p w:rsidR="0006661E" w:rsidRDefault="0006661E">
      <w:pPr>
        <w:pStyle w:val="ConsPlusNormal"/>
        <w:jc w:val="center"/>
      </w:pPr>
      <w:r>
        <w:t xml:space="preserve">(в ред. </w:t>
      </w:r>
      <w:hyperlink r:id="rId12">
        <w:r>
          <w:rPr>
            <w:color w:val="0000FF"/>
          </w:rPr>
          <w:t>Закона</w:t>
        </w:r>
      </w:hyperlink>
      <w:r>
        <w:t xml:space="preserve"> Республики Алтай от 06.12.2019 N 62-РЗ)</w:t>
      </w:r>
    </w:p>
    <w:p w:rsidR="0006661E" w:rsidRDefault="0006661E">
      <w:pPr>
        <w:pStyle w:val="ConsPlusNormal"/>
        <w:jc w:val="center"/>
      </w:pPr>
    </w:p>
    <w:p w:rsidR="0006661E" w:rsidRDefault="0006661E">
      <w:pPr>
        <w:pStyle w:val="ConsPlusNormal"/>
        <w:jc w:val="center"/>
      </w:pPr>
      <w:r>
        <w:t xml:space="preserve">(в ред. </w:t>
      </w:r>
      <w:hyperlink r:id="rId13">
        <w:r>
          <w:rPr>
            <w:color w:val="0000FF"/>
          </w:rPr>
          <w:t>Закона</w:t>
        </w:r>
      </w:hyperlink>
      <w:r>
        <w:t xml:space="preserve"> Республики Алтай от 25.11.2014 N 80-РЗ)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Общий объем дотаций на выравнивание бюджетной обеспеченности поселений (Д) рассчитывается по следующей формуле: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Закона</w:t>
        </w:r>
      </w:hyperlink>
      <w:r>
        <w:t xml:space="preserve"> Республики Алтай от 06.12.2019 N 62-РЗ)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11"/>
        </w:rPr>
        <w:drawing>
          <wp:inline distT="0" distB="0" distL="0" distR="0">
            <wp:extent cx="744220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Д</w:t>
      </w:r>
      <w:r>
        <w:rPr>
          <w:vertAlign w:val="subscript"/>
        </w:rPr>
        <w:t>n</w:t>
      </w:r>
      <w:r>
        <w:t xml:space="preserve"> - объем дотации на выравнивание бюджетной обеспеченности n-му поселению на очередной финансовый год.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1"/>
      </w:pPr>
      <w:r>
        <w:t>2. Порядок распределения дотаций на выравнивание</w:t>
      </w:r>
    </w:p>
    <w:p w:rsidR="0006661E" w:rsidRDefault="0006661E">
      <w:pPr>
        <w:pStyle w:val="ConsPlusTitle"/>
        <w:jc w:val="center"/>
      </w:pPr>
      <w:r>
        <w:t>бюджетной обеспеченности поселений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2"/>
      </w:pPr>
      <w:r>
        <w:t>2.1. Расчет распределения дотаций на выравнивание</w:t>
      </w:r>
    </w:p>
    <w:p w:rsidR="0006661E" w:rsidRDefault="0006661E">
      <w:pPr>
        <w:pStyle w:val="ConsPlusTitle"/>
        <w:jc w:val="center"/>
      </w:pPr>
      <w:r>
        <w:t>бюджетной обеспеченности поселений</w:t>
      </w:r>
    </w:p>
    <w:p w:rsidR="0006661E" w:rsidRDefault="0006661E">
      <w:pPr>
        <w:pStyle w:val="ConsPlusNormal"/>
        <w:jc w:val="center"/>
      </w:pPr>
    </w:p>
    <w:p w:rsidR="0006661E" w:rsidRDefault="0006661E">
      <w:pPr>
        <w:pStyle w:val="ConsPlusNormal"/>
        <w:jc w:val="center"/>
      </w:pPr>
      <w:r>
        <w:t xml:space="preserve">(в ред. </w:t>
      </w:r>
      <w:hyperlink r:id="rId16">
        <w:r>
          <w:rPr>
            <w:color w:val="0000FF"/>
          </w:rPr>
          <w:t>Закона</w:t>
        </w:r>
      </w:hyperlink>
      <w:r>
        <w:t xml:space="preserve"> Республики Алтай от 27.11.2023 N 93-РЗ)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1. Общий объем дотации на выравнивание бюджетной обеспеченности поселений n-му поселению (Добщ</w:t>
      </w:r>
      <w:r>
        <w:rPr>
          <w:vertAlign w:val="subscript"/>
        </w:rPr>
        <w:t>n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195961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 xml:space="preserve"> - объем дотаций на выравнивание бюджетной обеспеченности поселений n-му поселению, исходя из уровня бюджетной обеспеченности n-го поселения в очередном финансовом году;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ИРО</w:t>
      </w:r>
      <w:r>
        <w:rPr>
          <w:vertAlign w:val="subscript"/>
        </w:rPr>
        <w:t>n</w:t>
      </w:r>
      <w:r>
        <w:t xml:space="preserve"> - объем дотаций на выравнивание бюджетной обеспеченности поселений n-му поселению в связи с изменением объема расходных обязательств бюджета n-го поселения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(уменьшение) бюджетных ассигнований на исполнение существующих видов расходных обязательств бюджета n-го поселения в очередном финансовом году в соответствии с федеральным законодательством, законодательством Республики Алтай и муниципальными нормативными правовыми актами;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S</w:t>
      </w:r>
      <w:r>
        <w:rPr>
          <w:vertAlign w:val="subscript"/>
        </w:rPr>
        <w:t>n</w:t>
      </w:r>
      <w:r>
        <w:t xml:space="preserve"> - объем дотации n-му поселению за счет субвенций по расчету и предоставлению дотации на выравнивание бюджетной обеспеченности поселений, предусмотренных соответствующему муниципальному району в Республике Алтай (далее - муниципальный район) в республиканском бюджете Республики Алтай на очередной финансовый год.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Объем дотаций на выравнивание бюджетной обеспеченности поселений n-му поселению, исходя из уровня бюджетной обеспеченности n-го поселения в очередном финансовом году (Д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>),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 xml:space="preserve"> = Д</w:t>
      </w:r>
      <w:r>
        <w:rPr>
          <w:vertAlign w:val="superscript"/>
        </w:rPr>
        <w:t>бо</w:t>
      </w:r>
      <w:r>
        <w:t xml:space="preserve"> x Т</w:t>
      </w:r>
      <w:r>
        <w:rPr>
          <w:vertAlign w:val="subscript"/>
        </w:rPr>
        <w:t>n</w:t>
      </w:r>
      <w:r>
        <w:t xml:space="preserve"> / SUMТ</w:t>
      </w:r>
      <w:r>
        <w:rPr>
          <w:vertAlign w:val="subscript"/>
        </w:rPr>
        <w:t>n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Д</w:t>
      </w:r>
      <w:r>
        <w:rPr>
          <w:vertAlign w:val="superscript"/>
        </w:rPr>
        <w:t>бо</w:t>
      </w:r>
      <w:r>
        <w:t xml:space="preserve"> - общий объем дотаций на выравнивание бюджетной обеспеченности поселений, исходя из уровня бюджетной обеспеченности, на очередной финансовый год за счет средств местного бюджета;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Т</w:t>
      </w:r>
      <w:r>
        <w:rPr>
          <w:vertAlign w:val="subscript"/>
        </w:rPr>
        <w:t>n</w:t>
      </w:r>
      <w:r>
        <w:t xml:space="preserve"> - объем средств, необходимый для доведения уровня бюджетной обеспеченности n-го поселения до уровня, установленного в качестве критерия выравнивания бюджетной обеспеченности поселений, рассчитанный в соответствии с </w:t>
      </w:r>
      <w:hyperlink w:anchor="P58">
        <w:r>
          <w:rPr>
            <w:color w:val="0000FF"/>
          </w:rPr>
          <w:t>пунктом 2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SUM - сумма показателей.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0" w:name="P58"/>
      <w:bookmarkEnd w:id="0"/>
      <w:r>
        <w:t>2. Объем средств, необходимый для доведения уровня бюджетной обеспеченности n-го поселения до уровня, установленного в качестве критерия выравнивания бюджетной обеспеченности поселений (Т</w:t>
      </w:r>
      <w:r>
        <w:rPr>
          <w:vertAlign w:val="subscript"/>
        </w:rPr>
        <w:t>n</w:t>
      </w:r>
      <w:r>
        <w:t>),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Т</w:t>
      </w:r>
      <w:r>
        <w:rPr>
          <w:vertAlign w:val="subscript"/>
        </w:rPr>
        <w:t>n</w:t>
      </w:r>
      <w:r>
        <w:t xml:space="preserve"> = (ПНД</w:t>
      </w:r>
      <w:r>
        <w:rPr>
          <w:vertAlign w:val="superscript"/>
        </w:rPr>
        <w:t>П</w:t>
      </w:r>
      <w:r>
        <w:t xml:space="preserve"> / Н</w:t>
      </w:r>
      <w:r>
        <w:rPr>
          <w:vertAlign w:val="superscript"/>
        </w:rPr>
        <w:t>П</w:t>
      </w:r>
      <w:r>
        <w:t>) x (БО</w:t>
      </w:r>
      <w:r>
        <w:rPr>
          <w:vertAlign w:val="superscript"/>
        </w:rPr>
        <w:t>крП</w:t>
      </w:r>
      <w:r>
        <w:t xml:space="preserve"> x К</w:t>
      </w:r>
      <w:r>
        <w:rPr>
          <w:vertAlign w:val="superscript"/>
        </w:rPr>
        <w:t>П</w:t>
      </w:r>
      <w:r>
        <w:t xml:space="preserve"> - БО</w:t>
      </w:r>
      <w:r>
        <w:rPr>
          <w:vertAlign w:val="subscript"/>
        </w:rPr>
        <w:t>n</w:t>
      </w:r>
      <w:r>
        <w:t>) x ИБР</w:t>
      </w:r>
      <w:r>
        <w:rPr>
          <w:vertAlign w:val="subscript"/>
        </w:rPr>
        <w:t>n</w:t>
      </w:r>
      <w:r>
        <w:t xml:space="preserve"> x Н</w:t>
      </w:r>
      <w:r>
        <w:rPr>
          <w:vertAlign w:val="subscript"/>
        </w:rPr>
        <w:t>n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ПНД</w:t>
      </w:r>
      <w:r>
        <w:rPr>
          <w:vertAlign w:val="superscript"/>
        </w:rPr>
        <w:t>П</w:t>
      </w:r>
      <w:r>
        <w:t xml:space="preserve"> - прогноз налоговых доходов бюджетов поселений,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Н</w:t>
      </w:r>
      <w:r>
        <w:rPr>
          <w:vertAlign w:val="superscript"/>
        </w:rPr>
        <w:t>П</w:t>
      </w:r>
      <w:r>
        <w:t xml:space="preserve"> - численность постоянного населения в поселениях,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БО</w:t>
      </w:r>
      <w:r>
        <w:rPr>
          <w:vertAlign w:val="superscript"/>
        </w:rPr>
        <w:t>крП</w:t>
      </w:r>
      <w:r>
        <w:t xml:space="preserve"> - уровень бюджетной обеспеченности поселений, установленный в качестве критерия выравнивания бюджетной обеспеченности поселений, рассчитанный в соответствии с </w:t>
      </w:r>
      <w:hyperlink w:anchor="P69">
        <w:r>
          <w:rPr>
            <w:color w:val="0000FF"/>
          </w:rPr>
          <w:t>пунктом 3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К</w:t>
      </w:r>
      <w:r>
        <w:rPr>
          <w:vertAlign w:val="superscript"/>
        </w:rPr>
        <w:t>П</w:t>
      </w:r>
      <w:r>
        <w:t xml:space="preserve"> - коэффициент сглаживания изменения критерия выравнивания бюджетной обеспеченности поселений, который рассчитывается с учетом изменения структуры налогового </w:t>
      </w:r>
      <w:r>
        <w:lastRenderedPageBreak/>
        <w:t>потенциала поселений и планируемого общего объема дотации на выравнивание бюджетной обеспеченности поселениям на очередной финансовый год;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5) БО</w:t>
      </w:r>
      <w:r>
        <w:rPr>
          <w:vertAlign w:val="subscript"/>
        </w:rPr>
        <w:t>n</w:t>
      </w:r>
      <w:r>
        <w:t xml:space="preserve"> - уровень бюджетной обеспеченности n-го поселения, рассчитанный в соответствии с </w:t>
      </w:r>
      <w:hyperlink w:anchor="P89">
        <w:r>
          <w:rPr>
            <w:color w:val="0000FF"/>
          </w:rPr>
          <w:t>разделом 2.2</w:t>
        </w:r>
      </w:hyperlink>
      <w:r>
        <w:t xml:space="preserve"> настоящей Методики;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6) ИБР</w:t>
      </w:r>
      <w:r>
        <w:rPr>
          <w:vertAlign w:val="subscript"/>
        </w:rPr>
        <w:t>n</w:t>
      </w:r>
      <w:r>
        <w:t xml:space="preserve"> - индекс бюджетных расходов n-го поселения, рассчитанный в соответствии с </w:t>
      </w:r>
      <w:hyperlink w:anchor="P138">
        <w:r>
          <w:rPr>
            <w:color w:val="0000FF"/>
          </w:rPr>
          <w:t>разделом 2.4</w:t>
        </w:r>
      </w:hyperlink>
      <w:r>
        <w:t xml:space="preserve"> настоящей Методики;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7)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1" w:name="P69"/>
      <w:bookmarkEnd w:id="1"/>
      <w:r>
        <w:t>3. Уровень бюджетной обеспеченности поселений, установленный в качестве критерия выравнивания бюджетной обеспеченности поселений (БО</w:t>
      </w:r>
      <w:r>
        <w:rPr>
          <w:vertAlign w:val="superscript"/>
        </w:rPr>
        <w:t>крП</w:t>
      </w:r>
      <w:r>
        <w:t>),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БО</w:t>
      </w:r>
      <w:r>
        <w:rPr>
          <w:vertAlign w:val="superscript"/>
        </w:rPr>
        <w:t>крП</w:t>
      </w:r>
      <w:r>
        <w:t xml:space="preserve"> = (ПНД</w:t>
      </w:r>
      <w:r>
        <w:rPr>
          <w:vertAlign w:val="superscript"/>
        </w:rPr>
        <w:t>п</w:t>
      </w:r>
      <w:r>
        <w:t xml:space="preserve"> + Д</w:t>
      </w:r>
      <w:r>
        <w:rPr>
          <w:vertAlign w:val="superscript"/>
        </w:rPr>
        <w:t>бо</w:t>
      </w:r>
      <w:r>
        <w:t>) / ПНД</w:t>
      </w:r>
      <w:r>
        <w:rPr>
          <w:vertAlign w:val="superscript"/>
        </w:rPr>
        <w:t>п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ПНД</w:t>
      </w:r>
      <w:r>
        <w:rPr>
          <w:vertAlign w:val="superscript"/>
        </w:rPr>
        <w:t>п</w:t>
      </w:r>
      <w:r>
        <w:t xml:space="preserve"> - прогноз налоговых доходов бюджетов поселений,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Д</w:t>
      </w:r>
      <w:r>
        <w:rPr>
          <w:vertAlign w:val="superscript"/>
        </w:rPr>
        <w:t>бо</w:t>
      </w:r>
      <w:r>
        <w:t xml:space="preserve"> - общий объем дотаций на выравнивание бюджетной обеспеченности поселений, исходя из уровня бюджетной обеспеченности, на очередной финансовый год за счет средств местного бюджета.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В случае, если полученное при расчете значение показателя БО</w:t>
      </w:r>
      <w:r>
        <w:rPr>
          <w:vertAlign w:val="superscript"/>
        </w:rPr>
        <w:t>крП</w:t>
      </w:r>
      <w:r>
        <w:t xml:space="preserve"> меньше критерия выравнивания бюджетной обеспеченности поселений, установленного решением о бюджете муниципального района на текущий финансовый год, значение показателя БО</w:t>
      </w:r>
      <w:r>
        <w:rPr>
          <w:vertAlign w:val="superscript"/>
        </w:rPr>
        <w:t>крП</w:t>
      </w:r>
      <w:r>
        <w:t xml:space="preserve"> принимается равным установленному значению критерия выравнивания бюджетной обеспеченности поселений на текущий финансовый год.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В случае, если значение Д</w:t>
      </w:r>
      <w:r>
        <w:rPr>
          <w:vertAlign w:val="superscript"/>
        </w:rPr>
        <w:t>бo</w:t>
      </w:r>
      <w:r>
        <w:rPr>
          <w:vertAlign w:val="subscript"/>
        </w:rPr>
        <w:t>n</w:t>
      </w:r>
      <w:r>
        <w:t>&lt;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>, то Д</w:t>
      </w:r>
      <w:r>
        <w:rPr>
          <w:vertAlign w:val="superscript"/>
        </w:rPr>
        <w:t>бo</w:t>
      </w:r>
      <w:r>
        <w:rPr>
          <w:vertAlign w:val="subscript"/>
        </w:rPr>
        <w:t>n</w:t>
      </w:r>
      <w:r>
        <w:t xml:space="preserve"> = Дпл1</w:t>
      </w:r>
      <w:r>
        <w:rPr>
          <w:vertAlign w:val="subscript"/>
        </w:rPr>
        <w:t>n</w:t>
      </w:r>
      <w:r>
        <w:t>, где: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1)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 xml:space="preserve"> - объем дотации на выравнивание бюджетной обеспеченности поселений j-му поселению в текущем финансовом году;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Дпл1</w:t>
      </w:r>
      <w:r>
        <w:rPr>
          <w:vertAlign w:val="subscript"/>
        </w:rPr>
        <w:t>n</w:t>
      </w:r>
      <w:r>
        <w:t xml:space="preserve"> - объем дотации на выравнивание бюджетной обеспеченности n-му поселению, утвержденный на первый год планового периода в бюджете муниципального района на текущий финансовый год и плановый период.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В случае, если 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>&gt;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>, то 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 xml:space="preserve"> =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 xml:space="preserve"> + (Д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 xml:space="preserve"> x 1,1 -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>) x Кп, где: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1) Д</w:t>
      </w:r>
      <w:r>
        <w:rPr>
          <w:vertAlign w:val="superscript"/>
        </w:rPr>
        <w:t>бо</w:t>
      </w:r>
      <w:r>
        <w:rPr>
          <w:vertAlign w:val="subscript"/>
        </w:rPr>
        <w:t>n</w:t>
      </w:r>
      <w:r>
        <w:t xml:space="preserve"> - общий объем дотаций на выравнивание бюджетной обеспеченности поселений, исходя из уровня бюджетной обеспеченности местным бюджетам на очередной финансовый год за счет средств местного бюджета;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Д</w:t>
      </w:r>
      <w:r>
        <w:rPr>
          <w:vertAlign w:val="superscript"/>
        </w:rPr>
        <w:t>т</w:t>
      </w:r>
      <w:r>
        <w:rPr>
          <w:vertAlign w:val="subscript"/>
        </w:rPr>
        <w:t>n</w:t>
      </w:r>
      <w:r>
        <w:t xml:space="preserve"> - объем дотации на выравнивание бюджетной обеспеченности поселений j-му поселению в текущем финансовом году;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Кп - коэффициент увеличения объема дотации на выравнивание бюджетной обеспеченности n-му поселению, исходя из общего объема дотации на выравнивание бюджетной обеспеченности поселений на очередной финансовый год и бюджетной обеспеченности поселений.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4. Объем дотации на выравнивание бюджетной обеспеченности поселений n-му поселению на первый и второй годы планового периода соответственно (Дпл</w:t>
      </w:r>
      <w:r>
        <w:rPr>
          <w:vertAlign w:val="subscript"/>
        </w:rPr>
        <w:t>n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Дпл</w:t>
      </w:r>
      <w:r>
        <w:rPr>
          <w:vertAlign w:val="subscript"/>
        </w:rPr>
        <w:t>n</w:t>
      </w:r>
      <w:r>
        <w:t xml:space="preserve"> = 0,8Добщ</w:t>
      </w:r>
      <w:r>
        <w:rPr>
          <w:vertAlign w:val="subscript"/>
        </w:rPr>
        <w:t>n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Добщ</w:t>
      </w:r>
      <w:r>
        <w:rPr>
          <w:vertAlign w:val="subscript"/>
        </w:rPr>
        <w:t>n</w:t>
      </w:r>
      <w:r>
        <w:t xml:space="preserve"> - общий объем дотации на выравнивание бюджетной обеспеченности n-му поселению.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2"/>
      </w:pPr>
      <w:bookmarkStart w:id="2" w:name="P89"/>
      <w:bookmarkEnd w:id="2"/>
      <w:r>
        <w:t>2.2. Расчет уровня бюджетной обеспеченности n-го поселения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Уровень бюджетной обеспеченности n-го поселения (БО</w:t>
      </w:r>
      <w:r>
        <w:rPr>
          <w:vertAlign w:val="subscript"/>
        </w:rPr>
        <w:t>n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БО</w:t>
      </w:r>
      <w:r>
        <w:rPr>
          <w:vertAlign w:val="subscript"/>
        </w:rPr>
        <w:t>n</w:t>
      </w:r>
      <w:r>
        <w:t xml:space="preserve"> = ИНП</w:t>
      </w:r>
      <w:r>
        <w:rPr>
          <w:vertAlign w:val="subscript"/>
        </w:rPr>
        <w:t>n</w:t>
      </w:r>
      <w:r>
        <w:t xml:space="preserve"> / ИБР</w:t>
      </w:r>
      <w:r>
        <w:rPr>
          <w:vertAlign w:val="subscript"/>
        </w:rPr>
        <w:t>n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ИНП</w:t>
      </w:r>
      <w:r>
        <w:rPr>
          <w:vertAlign w:val="subscript"/>
        </w:rPr>
        <w:t>n</w:t>
      </w:r>
      <w:r>
        <w:t xml:space="preserve"> - индекс налогового потенциала n-го поселения, рассчитанный в соответствии с </w:t>
      </w:r>
      <w:hyperlink w:anchor="P98">
        <w:r>
          <w:rPr>
            <w:color w:val="0000FF"/>
          </w:rPr>
          <w:t>разделом 2.3</w:t>
        </w:r>
      </w:hyperlink>
      <w:r>
        <w:t xml:space="preserve"> настоящей Методики;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ИБР</w:t>
      </w:r>
      <w:r>
        <w:rPr>
          <w:vertAlign w:val="subscript"/>
        </w:rPr>
        <w:t>n</w:t>
      </w:r>
      <w:r>
        <w:t xml:space="preserve"> - индекс бюджетных расходов n-го поселения, рассчитанный в соответствии с </w:t>
      </w:r>
      <w:hyperlink w:anchor="P138">
        <w:r>
          <w:rPr>
            <w:color w:val="0000FF"/>
          </w:rPr>
          <w:t>разделом 2.4</w:t>
        </w:r>
      </w:hyperlink>
      <w:r>
        <w:t xml:space="preserve"> настоящей Методики.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2"/>
      </w:pPr>
      <w:bookmarkStart w:id="3" w:name="P98"/>
      <w:bookmarkEnd w:id="3"/>
      <w:r>
        <w:t>2.3. Расчет индекса налогового потенциала n-го поселения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1. Индекс налогового потенциала n-го поселения (ИНП</w:t>
      </w:r>
      <w:r>
        <w:rPr>
          <w:vertAlign w:val="subscript"/>
        </w:rPr>
        <w:t>n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ИНП</w:t>
      </w:r>
      <w:r>
        <w:rPr>
          <w:vertAlign w:val="subscript"/>
        </w:rPr>
        <w:t>n</w:t>
      </w:r>
      <w:r>
        <w:t xml:space="preserve"> = (НП</w:t>
      </w:r>
      <w:r>
        <w:rPr>
          <w:vertAlign w:val="subscript"/>
        </w:rPr>
        <w:t>n</w:t>
      </w:r>
      <w:r>
        <w:t xml:space="preserve"> / Н</w:t>
      </w:r>
      <w:r>
        <w:rPr>
          <w:vertAlign w:val="subscript"/>
        </w:rPr>
        <w:t>n</w:t>
      </w:r>
      <w:r>
        <w:t>) / (ПН</w:t>
      </w:r>
      <w:r>
        <w:rPr>
          <w:vertAlign w:val="superscript"/>
        </w:rPr>
        <w:t>П</w:t>
      </w:r>
      <w:r>
        <w:t xml:space="preserve"> / Н</w:t>
      </w:r>
      <w:r>
        <w:rPr>
          <w:vertAlign w:val="superscript"/>
        </w:rPr>
        <w:t>П</w:t>
      </w:r>
      <w:r>
        <w:t>),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НП</w:t>
      </w:r>
      <w:r>
        <w:rPr>
          <w:vertAlign w:val="subscript"/>
        </w:rPr>
        <w:t>n</w:t>
      </w:r>
      <w:r>
        <w:t xml:space="preserve"> - налоговый потенциал n-го поселения, рассчитанный в соответствии с </w:t>
      </w:r>
      <w:hyperlink w:anchor="P108">
        <w:r>
          <w:rPr>
            <w:color w:val="0000FF"/>
          </w:rPr>
          <w:t>пунктом 2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ПН</w:t>
      </w:r>
      <w:r>
        <w:rPr>
          <w:vertAlign w:val="superscript"/>
        </w:rPr>
        <w:t>П</w:t>
      </w:r>
      <w:r>
        <w:t xml:space="preserve"> - суммарный налоговый потенциал поселений,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Н</w:t>
      </w:r>
      <w:r>
        <w:rPr>
          <w:vertAlign w:val="superscript"/>
        </w:rPr>
        <w:t>П</w:t>
      </w:r>
      <w:r>
        <w:t xml:space="preserve"> - численность постоянного населения в поселениях,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4" w:name="P108"/>
      <w:bookmarkEnd w:id="4"/>
      <w:r>
        <w:t>2. Расчет налогового потенциала n-го поселения производится в разрезе отдельных видов налогов, исходя из показателей уровня экономического развития (базы налогообложения) поселения, прогноза поступлений налогов в бюджеты поселений, входящих в состав муниципального района (НП</w:t>
      </w:r>
      <w:r>
        <w:rPr>
          <w:vertAlign w:val="subscript"/>
        </w:rPr>
        <w:t>n</w:t>
      </w:r>
      <w:r>
        <w:t>),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171190" cy="2540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 xml:space="preserve">1) </w:t>
      </w:r>
      <w:r>
        <w:rPr>
          <w:noProof/>
          <w:position w:val="-6"/>
        </w:rPr>
        <w:drawing>
          <wp:inline distT="0" distB="0" distL="0" distR="0">
            <wp:extent cx="662305" cy="22098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налоговый потенциал n-го поселения по налогу на доходы физических лиц;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2) </w:t>
      </w:r>
      <w:r>
        <w:rPr>
          <w:noProof/>
          <w:position w:val="-6"/>
        </w:rPr>
        <w:drawing>
          <wp:inline distT="0" distB="0" distL="0" distR="0">
            <wp:extent cx="642620" cy="22098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налоговый потенциал n-го поселения по единому сельскохозяйственному налогу;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3) </w:t>
      </w:r>
      <w:r>
        <w:rPr>
          <w:noProof/>
          <w:position w:val="-6"/>
        </w:rPr>
        <w:drawing>
          <wp:inline distT="0" distB="0" distL="0" distR="0">
            <wp:extent cx="530860" cy="22098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налоговый потенциал n-го поселения по местным налогам (раздельно по видам местных налогов);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4) </w:t>
      </w:r>
      <w:r>
        <w:rPr>
          <w:noProof/>
          <w:position w:val="-6"/>
        </w:rPr>
        <w:drawing>
          <wp:inline distT="0" distB="0" distL="0" distR="0">
            <wp:extent cx="507365" cy="22098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налоговый потенциал n-го поселения по государственной пошлине.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lastRenderedPageBreak/>
        <w:t>3. Налоговый потенциал n-го поселения (НП</w:t>
      </w:r>
      <w:r>
        <w:rPr>
          <w:vertAlign w:val="subscript"/>
        </w:rPr>
        <w:t>ni</w:t>
      </w:r>
      <w:r>
        <w:t>) по налогу на доходы физических лиц, единому сельскохозяйственному налогу, земельному налогу, налогу на имущество физических лиц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НП</w:t>
      </w:r>
      <w:r>
        <w:rPr>
          <w:vertAlign w:val="subscript"/>
        </w:rPr>
        <w:t>ni</w:t>
      </w:r>
      <w:r>
        <w:t xml:space="preserve"> = ПНД</w:t>
      </w:r>
      <w:r>
        <w:rPr>
          <w:vertAlign w:val="subscript"/>
        </w:rPr>
        <w:t>i</w:t>
      </w:r>
      <w:r>
        <w:t xml:space="preserve"> x (БН</w:t>
      </w:r>
      <w:r>
        <w:rPr>
          <w:vertAlign w:val="subscript"/>
        </w:rPr>
        <w:t>ni</w:t>
      </w:r>
      <w:r>
        <w:t xml:space="preserve"> / SUM БН</w:t>
      </w:r>
      <w:r>
        <w:rPr>
          <w:vertAlign w:val="subscript"/>
        </w:rPr>
        <w:t>i</w:t>
      </w:r>
      <w:r>
        <w:t>),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ПНД</w:t>
      </w:r>
      <w:r>
        <w:rPr>
          <w:vertAlign w:val="subscript"/>
        </w:rPr>
        <w:t>i</w:t>
      </w:r>
      <w:r>
        <w:t xml:space="preserve"> - прогноз поступления доходов в бюджеты поселений, входящих в состав муниципального района, по i-му налогу (по налогу на доходы физических лиц, единому сельскохозяйственному налогу, земельному налогу, налогу на имущество физических лиц);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БН</w:t>
      </w:r>
      <w:r>
        <w:rPr>
          <w:vertAlign w:val="subscript"/>
        </w:rPr>
        <w:t>ni</w:t>
      </w:r>
      <w:r>
        <w:t xml:space="preserve"> - база налогообложения n-го поселения по i-му налогу: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по налогу на доходы физических лиц - фонд начисленной заработной платы;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по единому сельскохозяйственному налогу - денежное выражение доходов, уменьшенных на величину расходов;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по земельному налогу - кадастровая стоимость земельных участков, признаваемых объектом налогообложения;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по налогу на имущество физических лиц - кадастровая стоимость имущества, признаваемого объектом налогообложения;</w:t>
      </w:r>
    </w:p>
    <w:p w:rsidR="0006661E" w:rsidRDefault="0006661E">
      <w:pPr>
        <w:pStyle w:val="ConsPlusNormal"/>
        <w:jc w:val="both"/>
      </w:pPr>
      <w:r>
        <w:t xml:space="preserve">(в ред. Законов Республики Алтай от 06.12.2019 </w:t>
      </w:r>
      <w:hyperlink r:id="rId23">
        <w:r>
          <w:rPr>
            <w:color w:val="0000FF"/>
          </w:rPr>
          <w:t>N 62-РЗ</w:t>
        </w:r>
      </w:hyperlink>
      <w:r>
        <w:t xml:space="preserve">, от 26.10.2021 </w:t>
      </w:r>
      <w:hyperlink r:id="rId24">
        <w:r>
          <w:rPr>
            <w:color w:val="0000FF"/>
          </w:rPr>
          <w:t>N 66-РЗ</w:t>
        </w:r>
      </w:hyperlink>
      <w:r>
        <w:t>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SUM БН</w:t>
      </w:r>
      <w:r>
        <w:rPr>
          <w:vertAlign w:val="subscript"/>
        </w:rPr>
        <w:t>i</w:t>
      </w:r>
      <w:r>
        <w:t xml:space="preserve"> - суммарная база налогообложения по i-му налогу поселений,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В случае, если темп роста показателя, характеризующего базу налогообложения n-го поселения по i-му налогу (за исключением земельного налога, взимаемого с физических лиц, налога на имущество физических лиц, государственной пошлины), превышает показатель, сложившейся в среднем по поселениям, входящим в состав муниципального района, то показатель базы налогообложения по n-му поселению принимается на уровне среднего показателя, сложившегося в целом по поселениям, входящим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Абзацы третий - четвертый утратили силу. - </w:t>
      </w:r>
      <w:hyperlink r:id="rId25">
        <w:r>
          <w:rPr>
            <w:color w:val="0000FF"/>
          </w:rPr>
          <w:t>Закон</w:t>
        </w:r>
      </w:hyperlink>
      <w:r>
        <w:t xml:space="preserve"> Республики Алтай от 06.12.2019 N 62-РЗ.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4. Налоговый потенциал n-го поселения по государственной пошлине (НП</w:t>
      </w:r>
      <w:r>
        <w:rPr>
          <w:vertAlign w:val="subscript"/>
        </w:rPr>
        <w:t>ni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НП</w:t>
      </w:r>
      <w:r>
        <w:rPr>
          <w:vertAlign w:val="subscript"/>
        </w:rPr>
        <w:t>ni</w:t>
      </w:r>
      <w:r>
        <w:t xml:space="preserve"> = ПНД</w:t>
      </w:r>
      <w:r>
        <w:rPr>
          <w:vertAlign w:val="subscript"/>
        </w:rPr>
        <w:t>ni</w:t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ПНД</w:t>
      </w:r>
      <w:r>
        <w:rPr>
          <w:vertAlign w:val="subscript"/>
        </w:rPr>
        <w:t>ni</w:t>
      </w:r>
      <w:r>
        <w:t xml:space="preserve"> - прогноз поступления государственной пошлины в бюджет n-го поселения, определяемый, исходя из ожидаемого поступления данного налога в текущем финансовом году, с учетом сложившегося темпа роста налоговых поступлений по n-му поселению и изменений налогового законодательства.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В случае, если муниципальным правовым актом представительного органа муниципального района установлены единые для всех поселений муниципального района нормативы отчислений в бюджеты поселений от федеральных налогов и сборов, в том числе налогов, предусмотренных специальными налоговыми режимами, региональных и (или) местных налогов, подлежащих зачислению в соответствии с Бюджетным </w:t>
      </w:r>
      <w:hyperlink r:id="rId26">
        <w:r>
          <w:rPr>
            <w:color w:val="0000FF"/>
          </w:rPr>
          <w:t>кодексом</w:t>
        </w:r>
      </w:hyperlink>
      <w:r>
        <w:t xml:space="preserve"> Российской Федерации и (или) законом Республики Алтай в бюджет муниципального района, то налоговый потенциал поселений по данным налогам определяется в порядке, установленном </w:t>
      </w:r>
      <w:hyperlink r:id="rId27">
        <w:r>
          <w:rPr>
            <w:color w:val="0000FF"/>
          </w:rPr>
          <w:t>пунктом 2 раздела 2.3</w:t>
        </w:r>
      </w:hyperlink>
      <w:r>
        <w:t xml:space="preserve"> приложения 3 к настоящему Закону.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Рассчитанные оценки налогового потенциала не являются планируемыми или </w:t>
      </w:r>
      <w:r>
        <w:lastRenderedPageBreak/>
        <w:t>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Title"/>
        <w:jc w:val="center"/>
        <w:outlineLvl w:val="2"/>
      </w:pPr>
      <w:bookmarkStart w:id="5" w:name="P138"/>
      <w:bookmarkEnd w:id="5"/>
      <w:r>
        <w:t>2.4. Расчет индекса бюджетных расходов n-го поселения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1. Индекс бюджетных расходов n-го поселения (ИБР</w:t>
      </w:r>
      <w:r>
        <w:rPr>
          <w:vertAlign w:val="subscript"/>
        </w:rPr>
        <w:t>n</w:t>
      </w:r>
      <w:r>
        <w:t>)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436620" cy="25400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 xml:space="preserve">1) </w:t>
      </w:r>
      <w:r>
        <w:rPr>
          <w:noProof/>
          <w:position w:val="-6"/>
        </w:rPr>
        <w:drawing>
          <wp:inline distT="0" distB="0" distL="0" distR="0">
            <wp:extent cx="394970" cy="22098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цен n-го поселения, рассчитанный в соответствии с </w:t>
      </w:r>
      <w:hyperlink w:anchor="P149">
        <w:r>
          <w:rPr>
            <w:color w:val="0000FF"/>
          </w:rPr>
          <w:t>пунктом 2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2) </w:t>
      </w:r>
      <w:r>
        <w:rPr>
          <w:noProof/>
          <w:position w:val="-6"/>
        </w:rPr>
        <w:drawing>
          <wp:inline distT="0" distB="0" distL="0" distR="0">
            <wp:extent cx="377190" cy="22098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структуры потребителей муниципальных услуг в n-м поселении, рассчитанный в соответствии с </w:t>
      </w:r>
      <w:hyperlink w:anchor="P156">
        <w:r>
          <w:rPr>
            <w:color w:val="0000FF"/>
          </w:rPr>
          <w:t>пунктом 3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Н</w:t>
      </w:r>
      <w:r>
        <w:rPr>
          <w:vertAlign w:val="superscript"/>
        </w:rPr>
        <w:t>П</w:t>
      </w:r>
      <w:r>
        <w:t xml:space="preserve"> - численность постоянного населения в поселениях,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SUM - сумма показателей;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5)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6" w:name="P149"/>
      <w:bookmarkEnd w:id="6"/>
      <w:r>
        <w:t xml:space="preserve">2. Коэффициент цен n-го поселения </w:t>
      </w:r>
      <w:r>
        <w:rPr>
          <w:noProof/>
          <w:position w:val="-8"/>
        </w:rPr>
        <w:drawing>
          <wp:inline distT="0" distB="0" distL="0" distR="0">
            <wp:extent cx="513715" cy="25146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2360930" cy="25400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Р</w:t>
      </w:r>
      <w:r>
        <w:rPr>
          <w:vertAlign w:val="subscript"/>
        </w:rPr>
        <w:t>n</w:t>
      </w:r>
      <w:r>
        <w:t xml:space="preserve"> - расстояние от административного центра муниципального района до административного центра n-го поселения;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Т - установленная стоимость 1 т/км перевозки грузов;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СФН</w:t>
      </w:r>
      <w:r>
        <w:rPr>
          <w:vertAlign w:val="superscript"/>
        </w:rPr>
        <w:t>МР</w:t>
      </w:r>
      <w:r>
        <w:t xml:space="preserve"> - стоимость фиксированного набора товаров и услуг в муниципальном районе.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7" w:name="P156"/>
      <w:bookmarkEnd w:id="7"/>
      <w:r>
        <w:t xml:space="preserve">3. Коэффициент структуры потребителей муниципальных услуг в n-м поселении </w:t>
      </w:r>
      <w:r>
        <w:rPr>
          <w:noProof/>
          <w:position w:val="-9"/>
        </w:rPr>
        <w:drawing>
          <wp:inline distT="0" distB="0" distL="0" distR="0">
            <wp:extent cx="474980" cy="25400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3115310" cy="22098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а1 - расчетный удельный вес расходов на содержание органов местного самоуправления в Республике Алтай в среднем по бюджетам поселений, входящих в состав муниципального района, осуществляемых за счет средств местных бюджетов 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а2 - расчетный удельный вес расходов на благоустройство в среднем по бюджетам поселений, входящих в состав муниципального района, осуществляемых за счет средств местных бюджетов 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3) а3 - расчетный удельный вес прочих расходов в среднем по бюджетам поселений, входящих в состав муниципального района, осуществляемых за счет средств местных бюджетов </w:t>
      </w:r>
      <w:r>
        <w:lastRenderedPageBreak/>
        <w:t>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4) </w:t>
      </w:r>
      <w:r>
        <w:rPr>
          <w:noProof/>
          <w:position w:val="-6"/>
        </w:rPr>
        <w:drawing>
          <wp:inline distT="0" distB="0" distL="0" distR="0">
            <wp:extent cx="307340" cy="22098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масштаба n-го поселения, рассчитанный в соответствии с </w:t>
      </w:r>
      <w:hyperlink w:anchor="P168">
        <w:r>
          <w:rPr>
            <w:color w:val="0000FF"/>
          </w:rPr>
          <w:t>пунктом 4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5) </w:t>
      </w:r>
      <w:r>
        <w:rPr>
          <w:noProof/>
          <w:position w:val="-6"/>
        </w:rPr>
        <w:drawing>
          <wp:inline distT="0" distB="0" distL="0" distR="0">
            <wp:extent cx="377190" cy="22098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дифференциации расходов на благоустройство n-го поселения, рассчитанный в соответствии с </w:t>
      </w:r>
      <w:hyperlink w:anchor="P175">
        <w:r>
          <w:rPr>
            <w:color w:val="0000FF"/>
          </w:rPr>
          <w:t>пунктом 5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Закона</w:t>
        </w:r>
      </w:hyperlink>
      <w:r>
        <w:t xml:space="preserve"> Республики Алтай от 26.12.2014 N 100-РЗ)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6) </w:t>
      </w:r>
      <w:r>
        <w:rPr>
          <w:noProof/>
          <w:position w:val="-6"/>
        </w:rPr>
        <w:drawing>
          <wp:inline distT="0" distB="0" distL="0" distR="0">
            <wp:extent cx="344805" cy="22098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плотности населения n-го поселения, рассчитанный в соответствии с </w:t>
      </w:r>
      <w:hyperlink w:anchor="P184">
        <w:r>
          <w:rPr>
            <w:color w:val="0000FF"/>
          </w:rPr>
          <w:t>пунктом 6</w:t>
        </w:r>
      </w:hyperlink>
      <w:r>
        <w:t xml:space="preserve"> настоящего раздела;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 xml:space="preserve">7) </w:t>
      </w:r>
      <w:r>
        <w:rPr>
          <w:noProof/>
          <w:position w:val="-6"/>
        </w:rPr>
        <w:drawing>
          <wp:inline distT="0" distB="0" distL="0" distR="0">
            <wp:extent cx="441960" cy="22098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дисперсности расселения n-го поселения, рассчитанный в соответствии с </w:t>
      </w:r>
      <w:hyperlink w:anchor="P196">
        <w:r>
          <w:rPr>
            <w:color w:val="0000FF"/>
          </w:rPr>
          <w:t>пунктом 7</w:t>
        </w:r>
      </w:hyperlink>
      <w:r>
        <w:t xml:space="preserve"> настоящего раздела.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8" w:name="P168"/>
      <w:bookmarkEnd w:id="8"/>
      <w:r>
        <w:t xml:space="preserve">4. Коэффициент масштаба n-го поселения </w:t>
      </w:r>
      <w:r>
        <w:rPr>
          <w:noProof/>
          <w:position w:val="-9"/>
        </w:rPr>
        <w:drawing>
          <wp:inline distT="0" distB="0" distL="0" distR="0">
            <wp:extent cx="408940" cy="25400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1816100" cy="25400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>1) с - удельный вес численности постоянного населения в поселении, имеющего максимальную численность постоянного населения, в общей численности постоянного населения в поселениях,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Н</w:t>
      </w:r>
      <w:r>
        <w:rPr>
          <w:vertAlign w:val="superscript"/>
        </w:rPr>
        <w:t>срП</w:t>
      </w:r>
      <w:r>
        <w:t xml:space="preserve"> - средняя численность постоянного населения в поселениях,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9" w:name="P175"/>
      <w:bookmarkEnd w:id="9"/>
      <w:r>
        <w:t xml:space="preserve">5. Коэффициент дифференциации расходов на благоустройство n-го поселения </w:t>
      </w:r>
      <w:r>
        <w:rPr>
          <w:noProof/>
          <w:position w:val="-9"/>
        </w:rPr>
        <w:drawing>
          <wp:inline distT="0" distB="0" distL="0" distR="0">
            <wp:extent cx="461010" cy="25400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Закона</w:t>
        </w:r>
      </w:hyperlink>
      <w:r>
        <w:t xml:space="preserve"> Республики Алтай от 26.12.2014 N 100-РЗ)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1983740" cy="25400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 xml:space="preserve">1) </w:t>
      </w:r>
      <w:r>
        <w:rPr>
          <w:noProof/>
          <w:position w:val="-6"/>
        </w:rPr>
        <w:drawing>
          <wp:inline distT="0" distB="0" distL="0" distR="0">
            <wp:extent cx="377190" cy="22098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площадь жилого фонда n-го поселения;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П</w:t>
      </w:r>
      <w:r>
        <w:rPr>
          <w:vertAlign w:val="superscript"/>
        </w:rPr>
        <w:t>жф</w:t>
      </w:r>
      <w:r>
        <w:t xml:space="preserve"> - площадь жилого фонда поселений,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Н</w:t>
      </w:r>
      <w:r>
        <w:rPr>
          <w:vertAlign w:val="superscript"/>
        </w:rPr>
        <w:t>П</w:t>
      </w:r>
      <w:r>
        <w:t xml:space="preserve"> - численность постоянного населения в поселениях,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10" w:name="P184"/>
      <w:bookmarkEnd w:id="10"/>
      <w:r>
        <w:t xml:space="preserve">6. Коэффициент плотности населения n-го поселения </w:t>
      </w:r>
      <w:r>
        <w:rPr>
          <w:noProof/>
          <w:position w:val="-9"/>
        </w:rPr>
        <w:drawing>
          <wp:inline distT="0" distB="0" distL="0" distR="0">
            <wp:extent cx="433070" cy="254000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1941830" cy="254000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 xml:space="preserve">1) </w:t>
      </w:r>
      <w:r>
        <w:rPr>
          <w:noProof/>
          <w:position w:val="-6"/>
        </w:rPr>
        <w:drawing>
          <wp:inline distT="0" distB="0" distL="0" distR="0">
            <wp:extent cx="394970" cy="22098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площадь территории n-го поселения;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lastRenderedPageBreak/>
        <w:t>2) Н</w:t>
      </w:r>
      <w:r>
        <w:rPr>
          <w:vertAlign w:val="subscript"/>
        </w:rPr>
        <w:t>n</w:t>
      </w:r>
      <w:r>
        <w:t xml:space="preserve"> - численность постоянного населения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П</w:t>
      </w:r>
      <w:r>
        <w:rPr>
          <w:vertAlign w:val="superscript"/>
        </w:rPr>
        <w:t>тер</w:t>
      </w:r>
      <w:r>
        <w:t xml:space="preserve"> - площадь территории поселений,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Н</w:t>
      </w:r>
      <w:r>
        <w:rPr>
          <w:vertAlign w:val="superscript"/>
        </w:rPr>
        <w:t>П</w:t>
      </w:r>
      <w:r>
        <w:t xml:space="preserve"> - численность постоянного населения в поселениях,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При этом значение коэффициента плотности населения n-го поселения должно соответствовать следующему условию:</w:t>
      </w:r>
    </w:p>
    <w:p w:rsidR="0006661E" w:rsidRDefault="0006661E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Законом</w:t>
        </w:r>
      </w:hyperlink>
      <w:r>
        <w:t xml:space="preserve"> Республики Алтай от 25.11.2014 N 80-РЗ)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016635" cy="25146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6661E" w:rsidRDefault="0006661E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Республики Алтай от 06.12.2019 N 62-РЗ)</w:t>
      </w:r>
    </w:p>
    <w:p w:rsidR="0006661E" w:rsidRDefault="0006661E">
      <w:pPr>
        <w:pStyle w:val="ConsPlusNormal"/>
        <w:spacing w:before="220"/>
        <w:ind w:firstLine="540"/>
        <w:jc w:val="both"/>
      </w:pPr>
      <w:bookmarkStart w:id="11" w:name="P196"/>
      <w:bookmarkEnd w:id="11"/>
      <w:r>
        <w:t xml:space="preserve">7. Коэффициент дисперсности расселения n-го поселения </w:t>
      </w:r>
      <w:r>
        <w:rPr>
          <w:noProof/>
          <w:position w:val="-9"/>
        </w:rPr>
        <w:drawing>
          <wp:inline distT="0" distB="0" distL="0" distR="0">
            <wp:extent cx="530860" cy="254000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рассчитывается по следующей формуле: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2514600" cy="254000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ind w:firstLine="540"/>
        <w:jc w:val="both"/>
      </w:pPr>
      <w:r>
        <w:t xml:space="preserve">1) </w:t>
      </w:r>
      <w:r>
        <w:rPr>
          <w:noProof/>
          <w:position w:val="-6"/>
        </w:rPr>
        <w:drawing>
          <wp:inline distT="0" distB="0" distL="0" distR="0">
            <wp:extent cx="377190" cy="22098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количество сел с численностью постоянного населения не более 500 человек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2) С</w:t>
      </w:r>
      <w:r>
        <w:rPr>
          <w:vertAlign w:val="subscript"/>
        </w:rPr>
        <w:t>n</w:t>
      </w:r>
      <w:r>
        <w:t xml:space="preserve"> - количество сел в n-м поселении;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3) С</w:t>
      </w:r>
      <w:r>
        <w:rPr>
          <w:vertAlign w:val="superscript"/>
        </w:rPr>
        <w:t>500П</w:t>
      </w:r>
      <w:r>
        <w:t xml:space="preserve"> - количество сел с численностью постоянного населения не более 500 человек в поселениях, входящих в состав муниципального района;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4) С</w:t>
      </w:r>
      <w:r>
        <w:rPr>
          <w:vertAlign w:val="superscript"/>
        </w:rPr>
        <w:t>П</w:t>
      </w:r>
      <w:r>
        <w:t xml:space="preserve"> - количество сел в поселениях, входящих в состав муниципального района.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При этом значение коэффициента дисперсности расселения n-го поселения должно соответствовать следующему условию:</w:t>
      </w:r>
    </w:p>
    <w:p w:rsidR="0006661E" w:rsidRDefault="0006661E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Законом</w:t>
        </w:r>
      </w:hyperlink>
      <w:r>
        <w:t xml:space="preserve"> Республики Алтай от 25.11.2014 N 80-РЗ)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289050" cy="24130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6661E" w:rsidRDefault="0006661E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Законом</w:t>
        </w:r>
      </w:hyperlink>
      <w:r>
        <w:t xml:space="preserve"> Республики Алтай от 25.11.2014 N 80-РЗ)</w:t>
      </w:r>
    </w:p>
    <w:p w:rsidR="0006661E" w:rsidRDefault="0006661E">
      <w:pPr>
        <w:pStyle w:val="ConsPlusNormal"/>
        <w:spacing w:before="220"/>
        <w:ind w:firstLine="540"/>
        <w:jc w:val="both"/>
      </w:pPr>
      <w:r>
        <w:t>8.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показателями, определяющими расходы бюджетов поселений.</w:t>
      </w: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  <w:jc w:val="both"/>
      </w:pPr>
    </w:p>
    <w:p w:rsidR="0006661E" w:rsidRDefault="0006661E">
      <w:pPr>
        <w:pStyle w:val="ConsPlusNormal"/>
      </w:pPr>
      <w:hyperlink r:id="rId58">
        <w:r>
          <w:rPr>
            <w:i/>
            <w:color w:val="0000FF"/>
          </w:rPr>
          <w:br/>
          <w:t>Закон Республики Алтай от 27.07.2005 N 54-РЗ (ред. от 27.11.2023) "О межбюджетных трансфертах в Республике Алтай" (принят ГСЭК РА 08.07.2005) {КонсультантПлюс}</w:t>
        </w:r>
      </w:hyperlink>
      <w:r>
        <w:br/>
      </w:r>
    </w:p>
    <w:p w:rsidR="00EB40A9" w:rsidRDefault="00EB40A9"/>
    <w:sectPr w:rsidR="00EB40A9" w:rsidSect="00941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6661E"/>
    <w:rsid w:val="0006661E"/>
    <w:rsid w:val="00EB4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6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66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6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6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20788&amp;dst=100030" TargetMode="External"/><Relationship Id="rId18" Type="http://schemas.openxmlformats.org/officeDocument/2006/relationships/image" Target="media/image3.wmf"/><Relationship Id="rId26" Type="http://schemas.openxmlformats.org/officeDocument/2006/relationships/hyperlink" Target="https://login.consultant.ru/link/?req=doc&amp;base=LAW&amp;n=469774" TargetMode="External"/><Relationship Id="rId39" Type="http://schemas.openxmlformats.org/officeDocument/2006/relationships/image" Target="media/image18.wmf"/><Relationship Id="rId21" Type="http://schemas.openxmlformats.org/officeDocument/2006/relationships/image" Target="media/image6.wmf"/><Relationship Id="rId34" Type="http://schemas.openxmlformats.org/officeDocument/2006/relationships/image" Target="media/image14.wmf"/><Relationship Id="rId42" Type="http://schemas.openxmlformats.org/officeDocument/2006/relationships/image" Target="media/image21.wmf"/><Relationship Id="rId47" Type="http://schemas.openxmlformats.org/officeDocument/2006/relationships/image" Target="media/image25.wmf"/><Relationship Id="rId50" Type="http://schemas.openxmlformats.org/officeDocument/2006/relationships/image" Target="media/image27.wmf"/><Relationship Id="rId55" Type="http://schemas.openxmlformats.org/officeDocument/2006/relationships/hyperlink" Target="https://login.consultant.ru/link/?req=doc&amp;base=RLAW916&amp;n=20788&amp;dst=100048" TargetMode="External"/><Relationship Id="rId7" Type="http://schemas.openxmlformats.org/officeDocument/2006/relationships/hyperlink" Target="https://login.consultant.ru/link/?req=doc&amp;base=RLAW916&amp;n=40057&amp;dst=100383" TargetMode="External"/><Relationship Id="rId12" Type="http://schemas.openxmlformats.org/officeDocument/2006/relationships/hyperlink" Target="https://login.consultant.ru/link/?req=doc&amp;base=RLAW916&amp;n=40057&amp;dst=100387" TargetMode="External"/><Relationship Id="rId17" Type="http://schemas.openxmlformats.org/officeDocument/2006/relationships/image" Target="media/image2.wmf"/><Relationship Id="rId25" Type="http://schemas.openxmlformats.org/officeDocument/2006/relationships/hyperlink" Target="https://login.consultant.ru/link/?req=doc&amp;base=RLAW916&amp;n=40057&amp;dst=100409" TargetMode="External"/><Relationship Id="rId33" Type="http://schemas.openxmlformats.org/officeDocument/2006/relationships/image" Target="media/image13.wmf"/><Relationship Id="rId38" Type="http://schemas.openxmlformats.org/officeDocument/2006/relationships/image" Target="media/image17.wmf"/><Relationship Id="rId46" Type="http://schemas.openxmlformats.org/officeDocument/2006/relationships/image" Target="media/image24.wmf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55692&amp;dst=100071" TargetMode="External"/><Relationship Id="rId20" Type="http://schemas.openxmlformats.org/officeDocument/2006/relationships/image" Target="media/image5.wmf"/><Relationship Id="rId29" Type="http://schemas.openxmlformats.org/officeDocument/2006/relationships/image" Target="media/image9.wmf"/><Relationship Id="rId41" Type="http://schemas.openxmlformats.org/officeDocument/2006/relationships/image" Target="media/image20.wmf"/><Relationship Id="rId54" Type="http://schemas.openxmlformats.org/officeDocument/2006/relationships/image" Target="media/image30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21097&amp;dst=100026" TargetMode="External"/><Relationship Id="rId11" Type="http://schemas.openxmlformats.org/officeDocument/2006/relationships/hyperlink" Target="https://login.consultant.ru/link/?req=doc&amp;base=RLAW916&amp;n=40057&amp;dst=100385" TargetMode="External"/><Relationship Id="rId24" Type="http://schemas.openxmlformats.org/officeDocument/2006/relationships/hyperlink" Target="https://login.consultant.ru/link/?req=doc&amp;base=RLAW916&amp;n=47012&amp;dst=100079" TargetMode="External"/><Relationship Id="rId32" Type="http://schemas.openxmlformats.org/officeDocument/2006/relationships/image" Target="media/image12.wmf"/><Relationship Id="rId37" Type="http://schemas.openxmlformats.org/officeDocument/2006/relationships/hyperlink" Target="https://login.consultant.ru/link/?req=doc&amp;base=RLAW916&amp;n=21097&amp;dst=100036" TargetMode="External"/><Relationship Id="rId40" Type="http://schemas.openxmlformats.org/officeDocument/2006/relationships/image" Target="media/image19.wmf"/><Relationship Id="rId45" Type="http://schemas.openxmlformats.org/officeDocument/2006/relationships/image" Target="media/image23.wmf"/><Relationship Id="rId53" Type="http://schemas.openxmlformats.org/officeDocument/2006/relationships/image" Target="media/image29.wmf"/><Relationship Id="rId58" Type="http://schemas.openxmlformats.org/officeDocument/2006/relationships/hyperlink" Target="https://login.consultant.ru/link/?req=doc&amp;base=RLAW916&amp;n=55721&amp;dst=101527" TargetMode="External"/><Relationship Id="rId5" Type="http://schemas.openxmlformats.org/officeDocument/2006/relationships/hyperlink" Target="https://login.consultant.ru/link/?req=doc&amp;base=RLAW916&amp;n=20788&amp;dst=100029" TargetMode="External"/><Relationship Id="rId15" Type="http://schemas.openxmlformats.org/officeDocument/2006/relationships/image" Target="media/image1.wmf"/><Relationship Id="rId23" Type="http://schemas.openxmlformats.org/officeDocument/2006/relationships/hyperlink" Target="https://login.consultant.ru/link/?req=doc&amp;base=RLAW916&amp;n=40057&amp;dst=100408" TargetMode="External"/><Relationship Id="rId28" Type="http://schemas.openxmlformats.org/officeDocument/2006/relationships/image" Target="media/image8.wmf"/><Relationship Id="rId36" Type="http://schemas.openxmlformats.org/officeDocument/2006/relationships/image" Target="media/image16.wmf"/><Relationship Id="rId49" Type="http://schemas.openxmlformats.org/officeDocument/2006/relationships/hyperlink" Target="https://login.consultant.ru/link/?req=doc&amp;base=RLAW916&amp;n=20788&amp;dst=100045" TargetMode="External"/><Relationship Id="rId57" Type="http://schemas.openxmlformats.org/officeDocument/2006/relationships/hyperlink" Target="https://login.consultant.ru/link/?req=doc&amp;base=RLAW916&amp;n=20788&amp;dst=100050" TargetMode="External"/><Relationship Id="rId10" Type="http://schemas.openxmlformats.org/officeDocument/2006/relationships/hyperlink" Target="https://login.consultant.ru/link/?req=doc&amp;base=RLAW916&amp;n=40057&amp;dst=100384" TargetMode="External"/><Relationship Id="rId19" Type="http://schemas.openxmlformats.org/officeDocument/2006/relationships/image" Target="media/image4.wmf"/><Relationship Id="rId31" Type="http://schemas.openxmlformats.org/officeDocument/2006/relationships/image" Target="media/image11.wmf"/><Relationship Id="rId44" Type="http://schemas.openxmlformats.org/officeDocument/2006/relationships/image" Target="media/image22.wmf"/><Relationship Id="rId52" Type="http://schemas.openxmlformats.org/officeDocument/2006/relationships/image" Target="media/image28.wmf"/><Relationship Id="rId60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916&amp;n=16865&amp;dst=100316" TargetMode="External"/><Relationship Id="rId9" Type="http://schemas.openxmlformats.org/officeDocument/2006/relationships/hyperlink" Target="https://login.consultant.ru/link/?req=doc&amp;base=RLAW916&amp;n=55692&amp;dst=100071" TargetMode="External"/><Relationship Id="rId14" Type="http://schemas.openxmlformats.org/officeDocument/2006/relationships/hyperlink" Target="https://login.consultant.ru/link/?req=doc&amp;base=RLAW916&amp;n=40057&amp;dst=100388" TargetMode="External"/><Relationship Id="rId22" Type="http://schemas.openxmlformats.org/officeDocument/2006/relationships/image" Target="media/image7.wmf"/><Relationship Id="rId27" Type="http://schemas.openxmlformats.org/officeDocument/2006/relationships/hyperlink" Target="https://login.consultant.ru/link/?req=doc&amp;base=RLAW916&amp;n=55721&amp;dst=101921" TargetMode="External"/><Relationship Id="rId30" Type="http://schemas.openxmlformats.org/officeDocument/2006/relationships/image" Target="media/image10.wmf"/><Relationship Id="rId35" Type="http://schemas.openxmlformats.org/officeDocument/2006/relationships/image" Target="media/image15.wmf"/><Relationship Id="rId43" Type="http://schemas.openxmlformats.org/officeDocument/2006/relationships/hyperlink" Target="https://login.consultant.ru/link/?req=doc&amp;base=RLAW916&amp;n=21097&amp;dst=100037" TargetMode="External"/><Relationship Id="rId48" Type="http://schemas.openxmlformats.org/officeDocument/2006/relationships/image" Target="media/image26.wmf"/><Relationship Id="rId56" Type="http://schemas.openxmlformats.org/officeDocument/2006/relationships/image" Target="media/image31.wmf"/><Relationship Id="rId8" Type="http://schemas.openxmlformats.org/officeDocument/2006/relationships/hyperlink" Target="https://login.consultant.ru/link/?req=doc&amp;base=RLAW916&amp;n=47012&amp;dst=100079" TargetMode="External"/><Relationship Id="rId51" Type="http://schemas.openxmlformats.org/officeDocument/2006/relationships/hyperlink" Target="https://login.consultant.ru/link/?req=doc&amp;base=RLAW916&amp;n=40057&amp;dst=10041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2877</Words>
  <Characters>16403</Characters>
  <Application>Microsoft Office Word</Application>
  <DocSecurity>0</DocSecurity>
  <Lines>136</Lines>
  <Paragraphs>38</Paragraphs>
  <ScaleCrop>false</ScaleCrop>
  <Company/>
  <LinksUpToDate>false</LinksUpToDate>
  <CharactersWithSpaces>19242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PC_N</dc:creator>
  <cp:lastModifiedBy>PC_N</cp:lastModifiedBy>
  <cp:revision>1</cp:revision>
  <dcterms:created xsi:type="dcterms:W3CDTF">2024-11-06T04:06:00Z</dcterms:created>
  <dcterms:modified xsi:type="dcterms:W3CDTF">2024-11-06T04:08:00Z</dcterms:modified>
</cp:coreProperties>
</file>