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F8" w:rsidRPr="000D0488" w:rsidRDefault="004D2DF8" w:rsidP="00055A4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D048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Малое и среднее предпринимательство</w:t>
      </w:r>
    </w:p>
    <w:p w:rsidR="00193506" w:rsidRPr="009C12A8" w:rsidRDefault="0F2C6DF2" w:rsidP="00055A4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12A8">
        <w:rPr>
          <w:rFonts w:ascii="Times New Roman" w:hAnsi="Times New Roman"/>
          <w:bCs/>
          <w:iCs/>
          <w:sz w:val="24"/>
          <w:szCs w:val="24"/>
        </w:rPr>
        <w:t>Число субъектов малого и среднего предпринимательства</w:t>
      </w:r>
    </w:p>
    <w:p w:rsidR="00193506" w:rsidRPr="009C12A8" w:rsidRDefault="0F2C6DF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По состоянию на 01.07.2019 г. на территории МО «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 район» зарегистрировано 116 малых и микр</w:t>
      </w:r>
      <w:proofErr w:type="gramStart"/>
      <w:r w:rsidRPr="009C12A8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9C12A8">
        <w:rPr>
          <w:rFonts w:ascii="Times New Roman" w:eastAsia="Times New Roman" w:hAnsi="Times New Roman"/>
          <w:sz w:val="24"/>
          <w:szCs w:val="24"/>
        </w:rPr>
        <w:t xml:space="preserve"> предприятий, что ниже уровня аналогичного периода прошлого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7,2 %. Снижение связано с увеличением страховых взносов. </w:t>
      </w:r>
    </w:p>
    <w:p w:rsidR="00193506" w:rsidRPr="009C12A8" w:rsidRDefault="0F2C6DF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В основном преобладают предприятия торговли, деятельности гостиниц и предприятий общественного питания, сельского хозяйства и обрабатывающее производство.</w:t>
      </w:r>
    </w:p>
    <w:p w:rsidR="00193506" w:rsidRPr="009C12A8" w:rsidRDefault="1BBCC3CE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Количество индивидуальных предпринимателей по сравнению с аналогичным периодом прошлого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увеличилось на 5 чел. или на 1,4 % и составляет 357 чел. (по состоянию на 01.07.2018 г.– 352 чел.). К причинам увеличения можно отнести открытие туристического сезона.</w:t>
      </w:r>
    </w:p>
    <w:p w:rsidR="00055A4C" w:rsidRPr="009C12A8" w:rsidRDefault="0F2C6DF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Число субъектов малого и среднего предпринимательства в расчете на 10 тыс. чел. составляет 450,3 ед., что ниже соответствующего периода прошлого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8,6 ед. или на 1,9 %. На снижение числа субъектов малого и среднего предпринимательства повлияло закрытие малых и микр</w:t>
      </w:r>
      <w:proofErr w:type="gramStart"/>
      <w:r w:rsidRPr="009C12A8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9C12A8">
        <w:rPr>
          <w:rFonts w:ascii="Times New Roman" w:eastAsia="Times New Roman" w:hAnsi="Times New Roman"/>
          <w:sz w:val="24"/>
          <w:szCs w:val="24"/>
        </w:rPr>
        <w:t xml:space="preserve"> предприятий. Одна из основных причин - увеличение страховых взносов и закрытие ИП и юридических лиц, в связи с неосуществлением деятельности. УФНС в принудительном порядке закрывают юридические лица, если они не отчитываются в течени</w:t>
      </w:r>
      <w:proofErr w:type="gramStart"/>
      <w:r w:rsidRPr="009C12A8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9C12A8">
        <w:rPr>
          <w:rFonts w:ascii="Times New Roman" w:eastAsia="Times New Roman" w:hAnsi="Times New Roman"/>
          <w:sz w:val="24"/>
          <w:szCs w:val="24"/>
        </w:rPr>
        <w:t xml:space="preserve"> трех лет. </w:t>
      </w:r>
    </w:p>
    <w:p w:rsidR="00193506" w:rsidRPr="009C12A8" w:rsidRDefault="0F2C6DF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Проводится работа по внесению субъектов МСП в ЕРСМСП, которые по каким-либо причинам отсутствуют в данном реестре. Выявлено 38 юридических лиц, из них включено в реестр 10 индивидуальных предпринимателей.</w:t>
      </w:r>
    </w:p>
    <w:p w:rsidR="00193506" w:rsidRPr="009C12A8" w:rsidRDefault="2618B2B8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В сравнении с планом на 01.07.2019 г. отмечено отклонение числа субъектов малого и среднего предпринимательства на 10 тыс. </w:t>
      </w:r>
      <w:r w:rsidR="00AB1FEA" w:rsidRPr="009C12A8">
        <w:rPr>
          <w:rFonts w:ascii="Times New Roman" w:eastAsia="Times New Roman" w:hAnsi="Times New Roman"/>
          <w:sz w:val="24"/>
          <w:szCs w:val="24"/>
        </w:rPr>
        <w:t>ч</w:t>
      </w:r>
      <w:r w:rsidRPr="009C12A8">
        <w:rPr>
          <w:rFonts w:ascii="Times New Roman" w:eastAsia="Times New Roman" w:hAnsi="Times New Roman"/>
          <w:sz w:val="24"/>
          <w:szCs w:val="24"/>
        </w:rPr>
        <w:t>ел. на (+) 27,7 ед. Причинами отклонения от планового значения является открытие туристического сезона.</w:t>
      </w:r>
    </w:p>
    <w:p w:rsidR="2618B2B8" w:rsidRPr="009C12A8" w:rsidRDefault="2618B2B8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 w:rsidRPr="009C12A8">
        <w:rPr>
          <w:rFonts w:ascii="Times New Roman" w:eastAsia="Times New Roman" w:hAnsi="Times New Roman"/>
          <w:sz w:val="24"/>
          <w:szCs w:val="24"/>
        </w:rPr>
        <w:t>ограничения снижения численности работников субъектов малого</w:t>
      </w:r>
      <w:proofErr w:type="gramEnd"/>
      <w:r w:rsidRPr="009C12A8">
        <w:rPr>
          <w:rFonts w:ascii="Times New Roman" w:eastAsia="Times New Roman" w:hAnsi="Times New Roman"/>
          <w:sz w:val="24"/>
          <w:szCs w:val="24"/>
        </w:rPr>
        <w:t xml:space="preserve"> и сред</w:t>
      </w:r>
      <w:r w:rsidR="00D57793">
        <w:rPr>
          <w:rFonts w:ascii="Times New Roman" w:eastAsia="Times New Roman" w:hAnsi="Times New Roman"/>
          <w:sz w:val="24"/>
          <w:szCs w:val="24"/>
        </w:rPr>
        <w:t>него предпринимательства в МО «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> район» проводились следующие мероприятия: </w:t>
      </w:r>
    </w:p>
    <w:p w:rsidR="2618B2B8" w:rsidRPr="009C12A8" w:rsidRDefault="00140909" w:rsidP="00055A4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2618B2B8" w:rsidRPr="009C12A8">
        <w:rPr>
          <w:rFonts w:ascii="Times New Roman" w:eastAsia="Times New Roman" w:hAnsi="Times New Roman"/>
          <w:sz w:val="24"/>
          <w:szCs w:val="24"/>
        </w:rPr>
        <w:t>оказывалась субъектам малого и среднего предпринимательства информационная и консультационная поддержки. Также осуществлялся личный прием, консультации по телефону, письменные ответы на обращения субъектов МСП. </w:t>
      </w:r>
    </w:p>
    <w:p w:rsidR="00193506" w:rsidRPr="009C12A8" w:rsidRDefault="0F2C6DF2" w:rsidP="00055A4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12A8">
        <w:rPr>
          <w:rFonts w:ascii="Times New Roman" w:hAnsi="Times New Roman"/>
          <w:bCs/>
          <w:iCs/>
          <w:sz w:val="24"/>
          <w:szCs w:val="24"/>
        </w:rPr>
        <w:t xml:space="preserve">Оборот организаций малого и среднего предпринимательства (без </w:t>
      </w:r>
      <w:proofErr w:type="spellStart"/>
      <w:r w:rsidRPr="009C12A8">
        <w:rPr>
          <w:rFonts w:ascii="Times New Roman" w:hAnsi="Times New Roman"/>
          <w:bCs/>
          <w:iCs/>
          <w:sz w:val="24"/>
          <w:szCs w:val="24"/>
        </w:rPr>
        <w:t>микропредприятий</w:t>
      </w:r>
      <w:proofErr w:type="spellEnd"/>
      <w:r w:rsidRPr="009C12A8">
        <w:rPr>
          <w:rFonts w:ascii="Times New Roman" w:hAnsi="Times New Roman"/>
          <w:bCs/>
          <w:iCs/>
          <w:sz w:val="24"/>
          <w:szCs w:val="24"/>
        </w:rPr>
        <w:t xml:space="preserve">) </w:t>
      </w:r>
    </w:p>
    <w:p w:rsidR="0F2C6DF2" w:rsidRPr="009C12A8" w:rsidRDefault="1BBCC3CE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Оборот организаций малого и среднего предпринимательства (без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микропредприятий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) на 01.07.2019 г. составил 56,5 млн. руб., что выше аналогичного периода прошлого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44,1 млн. руб. или рост в 4 раза (на 01.07.2018 г. – 12,4 млн. руб.), за счет осуществления деятельности двух организаций (розничная торговля и сдача жилья в наем).</w:t>
      </w:r>
    </w:p>
    <w:p w:rsidR="0F2C6DF2" w:rsidRPr="009C12A8" w:rsidRDefault="0F2C6DF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Оборот малого и среднего предпринимательства (без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микропредприятий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) на 01.07.2019 г. в расчете на душу населения составил 5,4 тыс. руб., что выше аналогичного периода прошлого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4,2 тыс. руб. или в 4,5 раза. На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увеличениеоборотов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 организаций малого и среднего предпринимательства повлияло осуществление деятельности двух организаций (розничная торговля и сдача жилья в </w:t>
      </w:r>
      <w:r w:rsidRPr="009C12A8">
        <w:rPr>
          <w:rFonts w:ascii="Times New Roman" w:eastAsia="Times New Roman" w:hAnsi="Times New Roman"/>
          <w:sz w:val="24"/>
          <w:szCs w:val="24"/>
        </w:rPr>
        <w:lastRenderedPageBreak/>
        <w:t xml:space="preserve">наем). В 2018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г.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sz w:val="24"/>
          <w:szCs w:val="24"/>
        </w:rPr>
        <w:t>по итогам аналогичного периода одна организация не осуществляла деятельность и одна не отчиталась в статистику.</w:t>
      </w:r>
    </w:p>
    <w:p w:rsidR="0F2C6DF2" w:rsidRPr="009C12A8" w:rsidRDefault="0F2C6DF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В сравнении с планом на 01.07.2019 г. отмечено отклонение Оборот организаций малого и среднего предпринимательства (без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микропредприятий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>) на (+) 3,4 процентных пункта. Причина отклонения от планового значения связана с осуществление деятельности двух организаций, по которым по итогам аналогичного периода не было оборота.</w:t>
      </w:r>
    </w:p>
    <w:p w:rsidR="0F2C6DF2" w:rsidRPr="009C12A8" w:rsidRDefault="0F2C6DF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За отчетный период в реализации государственной программы Республики Алтай «Развитие экономического потенциала и предпринимательства» в рамках подпрограмм «Развитие малого и среднего предпринимательства» и «Развитие внутреннего и въездного туризма» субъекты малого и среднего предпринимательства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 района не принимали участие, так как мероприятия не проводились.</w:t>
      </w:r>
    </w:p>
    <w:p w:rsidR="004D2DF8" w:rsidRPr="009C12A8" w:rsidRDefault="5961EC82" w:rsidP="00055A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Кроме того, за отчетный период в рамках муниципальной программы «Развитие экономического потенциала и предпринимательства» в рамках подпрограмм «Развитие малого и среднего предпринимательства» поддержка не оказывалась. Планируется объявление конкурса на оказание поддержки МСП на четвертый квартал 2019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г.</w:t>
      </w:r>
    </w:p>
    <w:p w:rsidR="73F3F1CF" w:rsidRPr="0064322B" w:rsidRDefault="5961EC82" w:rsidP="00055A4C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4322B">
        <w:rPr>
          <w:rFonts w:ascii="Times New Roman" w:hAnsi="Times New Roman"/>
          <w:b/>
          <w:bCs/>
          <w:sz w:val="24"/>
          <w:szCs w:val="24"/>
        </w:rPr>
        <w:t>2.3. Сельское хозяйство</w:t>
      </w:r>
    </w:p>
    <w:p w:rsidR="004D2DF8" w:rsidRPr="009C12A8" w:rsidRDefault="5961EC8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В аграрном секторе по виду деятельности «Сельское хозяйство» зарегистрировано 5 сельскохозяйственных предприятий, из них фактически осуществляют свою деятельность 4 ед., из которых все 5 являются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сельхозорганизациями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>. Также зарегистрировано 103 крестьянских (фермерских) хозяйств и индивидуальных предпринимателей (далее – КФХ), из которых фактически осуществляют деятельность 71 ед. Кроме того осуществляют деятельность 4347 личных подсобных хозяйств (далее – ЛПХ).</w:t>
      </w:r>
    </w:p>
    <w:p w:rsidR="004D2DF8" w:rsidRPr="009C12A8" w:rsidRDefault="2618B2B8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C12A8">
        <w:rPr>
          <w:rFonts w:ascii="Times New Roman" w:eastAsia="Times New Roman" w:hAnsi="Times New Roman"/>
          <w:sz w:val="24"/>
          <w:szCs w:val="24"/>
        </w:rPr>
        <w:t xml:space="preserve">Объем производства сельскохозяйственной продукции в хозяйствах всех категорий на 01.07.2019 г. в фактически действовавших ценах составил 93,7 млн. руб. (на душу населения 8,9 тыс. руб.), в том числе продукция животноводства – 92,4 млн. руб., продукция растениеводства – 1,3 млн. руб. В сравнении с 01.07.2018 г. наблюдается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рост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объема производства сельскохозяйственной продукции на 6,5 млн. руб. или на 7,5 %, что связано с ростом</w:t>
      </w:r>
      <w:proofErr w:type="gramEnd"/>
      <w:r w:rsidRPr="009C12A8">
        <w:rPr>
          <w:rFonts w:ascii="Times New Roman" w:eastAsia="Times New Roman" w:hAnsi="Times New Roman"/>
          <w:sz w:val="24"/>
          <w:szCs w:val="24"/>
        </w:rPr>
        <w:t xml:space="preserve"> объемов производства продукции животноводства – пуха, яиц.</w:t>
      </w:r>
    </w:p>
    <w:p w:rsidR="004D2DF8" w:rsidRPr="009C12A8" w:rsidRDefault="5961EC8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Индекс производства сельскохозяйственной продукции в хозяйствах всех категорий составил 100,1 %, в том числе продукции животноводства — 100,1%, продукции растениеводства - 100,0%. В сравнении с аналогичным периодом предыдущего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отмечен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рост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индекса производства сельскохозяйственной продукции в хозяйствах всех категорий на 1,6 процентных пунктов.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iCs/>
          <w:sz w:val="24"/>
          <w:szCs w:val="24"/>
        </w:rPr>
        <w:t>Животноводство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Поголовье скота в хозяйствах всех категорий на 01.07.2019 г. составило:</w:t>
      </w:r>
    </w:p>
    <w:tbl>
      <w:tblPr>
        <w:tblStyle w:val="1"/>
        <w:tblW w:w="0" w:type="auto"/>
        <w:tblLayout w:type="fixed"/>
        <w:tblLook w:val="0000"/>
      </w:tblPr>
      <w:tblGrid>
        <w:gridCol w:w="2256"/>
        <w:gridCol w:w="2256"/>
        <w:gridCol w:w="2256"/>
        <w:gridCol w:w="2256"/>
      </w:tblGrid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Поголовье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на 01.07.2018 г.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на 01.07.2019 г.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Темп роста, %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Крупный рогатый скот,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4742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4554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96,0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  в т. ч. коров,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1759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93,0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         из них:</w:t>
            </w:r>
          </w:p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молочного направления,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Овцы и козы,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 4149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3916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94,4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Лошади,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5329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 5607</w:t>
            </w:r>
          </w:p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105,2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Свиньи,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100,3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Олени-маралы,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2170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2167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Птица, гол.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12403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12371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99,7</w:t>
            </w:r>
          </w:p>
        </w:tc>
      </w:tr>
    </w:tbl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На 01.07.2019 г. в хозяйствах всех категорий:</w:t>
      </w:r>
    </w:p>
    <w:p w:rsidR="00E8248C" w:rsidRPr="009C12A8" w:rsidRDefault="5961EC82" w:rsidP="00E8248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поголовье КРС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уменьшилось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4% к аналогичному периоду прошлого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в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sz w:val="24"/>
          <w:szCs w:val="24"/>
        </w:rPr>
        <w:t>результате выбраковки основного стада КРС, которое было реализовано населением. Средний вес одной головы КРС в сельскохозяйственных организациях составил 350 кг. В целях увеличения поголовья КРС в хозяйствах всех категорий проведены следующие мероприятия:</w:t>
      </w:r>
    </w:p>
    <w:p w:rsidR="004D2DF8" w:rsidRPr="009C12A8" w:rsidRDefault="5961EC82" w:rsidP="00E8248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в Минсельхоз Республики Алтай поданы были 9 заявок на получение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грантовой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 поддержки семейных (животноводческих) ферм. В результате двум хозяйствам оказана господдержка. В 2019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г.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данные средс</w:t>
      </w:r>
      <w:r w:rsidR="0064322B">
        <w:rPr>
          <w:rFonts w:ascii="Times New Roman" w:eastAsia="Times New Roman" w:hAnsi="Times New Roman"/>
          <w:sz w:val="24"/>
          <w:szCs w:val="24"/>
        </w:rPr>
        <w:t>тва будут закуплены КРС ИП ГКФХ.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- на базе ИП ГКФХ ведутся работы по организации разведения КРС (породы герефорд)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- районной ветеринарной службой планируется открытие пунктов искусственного осеменения.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поголовье овец и коз</w:t>
      </w:r>
      <w:r w:rsidR="00AB1FEA"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уменьшилось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5,6% к аналогичному периоду прошлого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 xml:space="preserve">ода </w:t>
      </w:r>
      <w:r w:rsidRPr="009C12A8">
        <w:rPr>
          <w:rFonts w:ascii="Times New Roman" w:eastAsia="Times New Roman" w:hAnsi="Times New Roman"/>
          <w:sz w:val="24"/>
          <w:szCs w:val="24"/>
        </w:rPr>
        <w:t>за счет реализации поголовья овец в ООО. В целях увеличения поголовья овец и коз в хозяйствах всех категорий проведены следующие мероприятия: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- рекомендовано </w:t>
      </w:r>
      <w:proofErr w:type="gramStart"/>
      <w:r w:rsidRPr="009C12A8">
        <w:rPr>
          <w:rFonts w:ascii="Times New Roman" w:eastAsia="Times New Roman" w:hAnsi="Times New Roman"/>
          <w:sz w:val="24"/>
          <w:szCs w:val="24"/>
        </w:rPr>
        <w:t>К(</w:t>
      </w:r>
      <w:proofErr w:type="gramEnd"/>
      <w:r w:rsidRPr="009C12A8">
        <w:rPr>
          <w:rFonts w:ascii="Times New Roman" w:eastAsia="Times New Roman" w:hAnsi="Times New Roman"/>
          <w:sz w:val="24"/>
          <w:szCs w:val="24"/>
        </w:rPr>
        <w:t>Ф)Х, частному сектору развивать овцеводство, открывать торговые точки по реализации баранины.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поголовье лошадей</w:t>
      </w:r>
      <w:r w:rsidR="00AB1FEA"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увеличилось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5,2% к аналогичному периоду прошлого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за счет роста численности поголовья в частном секторе. Средний вес одной головы лошади в сельскохозяйственных организациях составил 400 кг. В целях увеличения поголовья лошадей в хозяйствах всех категорий проведены следующие мероприятия: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- отражение в отчетных данных СХО и КФХ всего поголовья лошадей в целях его дальнейшего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чипирования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>.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поголовье свиней</w:t>
      </w:r>
      <w:r w:rsidR="00AB1FEA"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увеличилось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0,3% к аналогичному периоду прошлого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за счет приплода. 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количество птиц</w:t>
      </w:r>
      <w:r w:rsidR="00AB1FEA"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уменьшилось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0,3% к аналогичному периоду прошлого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за счет незначительного снижения в частном секторе. </w:t>
      </w:r>
    </w:p>
    <w:p w:rsidR="004D2DF8" w:rsidRPr="009C12A8" w:rsidRDefault="5961EC82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Рекомендовано лицам, осуществляющим реализацию птицы из Алтайского края продавать не бракованное поголовье. Так как за последние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</w:t>
      </w:r>
      <w:r w:rsidRPr="009C12A8">
        <w:rPr>
          <w:rFonts w:ascii="Times New Roman" w:eastAsia="Times New Roman" w:hAnsi="Times New Roman"/>
          <w:sz w:val="24"/>
          <w:szCs w:val="24"/>
        </w:rPr>
        <w:t>ы качество купленного продукта очень низкое, что соответственно влияет на разведение птицы.</w:t>
      </w:r>
    </w:p>
    <w:p w:rsidR="004D2DF8" w:rsidRPr="009C12A8" w:rsidRDefault="5C066F03" w:rsidP="00055A4C">
      <w:pPr>
        <w:spacing w:after="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Производство продуктов животноводства в хозяйствах всех категорий на 01.07.2019 г. составило:</w:t>
      </w:r>
    </w:p>
    <w:tbl>
      <w:tblPr>
        <w:tblStyle w:val="1"/>
        <w:tblW w:w="0" w:type="auto"/>
        <w:tblLayout w:type="fixed"/>
        <w:tblLook w:val="0000"/>
      </w:tblPr>
      <w:tblGrid>
        <w:gridCol w:w="2256"/>
        <w:gridCol w:w="2256"/>
        <w:gridCol w:w="2256"/>
        <w:gridCol w:w="2256"/>
      </w:tblGrid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Наименование продукции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на 01.07.2018 г.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на 01.07.2019 г.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Темп роста, %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Скот и птица на убой в живом весе, </w:t>
            </w:r>
            <w:proofErr w:type="gramStart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112,2</w:t>
            </w:r>
          </w:p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145,0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Молоко, </w:t>
            </w:r>
            <w:proofErr w:type="gramStart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1021,0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1012,1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99,1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   в т.ч. в сельскохозяйственных организациях и крестьянских (фермерских) хозяйствах, включая индивидуальных предпринимателей, </w:t>
            </w:r>
            <w:proofErr w:type="gramStart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46,4</w:t>
            </w:r>
          </w:p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16,9</w:t>
            </w:r>
          </w:p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36,4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 xml:space="preserve">Шерсть, </w:t>
            </w:r>
            <w:proofErr w:type="gramStart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="007649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16,8</w:t>
            </w:r>
          </w:p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289,7 (2,9 раз)</w:t>
            </w:r>
          </w:p>
        </w:tc>
      </w:tr>
      <w:tr w:rsidR="5961EC82" w:rsidRPr="00055A4C" w:rsidTr="5961EC82"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Яйца, тыс. шт.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294,6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2256" w:type="dxa"/>
          </w:tcPr>
          <w:p w:rsidR="5961EC82" w:rsidRPr="00055A4C" w:rsidRDefault="5961EC82" w:rsidP="00055A4C">
            <w:pPr>
              <w:spacing w:after="40" w:line="276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A4C">
              <w:rPr>
                <w:rFonts w:ascii="Times New Roman" w:eastAsia="Times New Roman" w:hAnsi="Times New Roman"/>
                <w:sz w:val="24"/>
                <w:szCs w:val="24"/>
              </w:rPr>
              <w:t>99,1</w:t>
            </w:r>
          </w:p>
        </w:tc>
      </w:tr>
    </w:tbl>
    <w:p w:rsidR="004D2DF8" w:rsidRPr="009C12A8" w:rsidRDefault="5961EC8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На 01.07.2019 г. в хозяйствах всех категорий:</w:t>
      </w:r>
    </w:p>
    <w:p w:rsidR="004D2DF8" w:rsidRPr="009C12A8" w:rsidRDefault="5961EC8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производство мяса на убой (в живой массе) составило 112,2 </w:t>
      </w:r>
      <w:r w:rsidR="009C12A8" w:rsidRPr="009C12A8">
        <w:rPr>
          <w:rFonts w:ascii="Times New Roman" w:eastAsia="Times New Roman" w:hAnsi="Times New Roman"/>
          <w:sz w:val="24"/>
          <w:szCs w:val="24"/>
        </w:rPr>
        <w:t>т.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ИП ГКФХ)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, что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выше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уровня аналогичного периода прошлого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45%, увеличение связано с увеличением реализации поголовья КРС в частном секторе.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49,4%;</w:t>
      </w:r>
    </w:p>
    <w:p w:rsidR="004D2DF8" w:rsidRPr="009C12A8" w:rsidRDefault="5961EC8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производство молока в хозяйствах всех категорий составило 1012,1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т.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основные производители</w:t>
      </w:r>
      <w:r w:rsidR="009C12A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- частный сектор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), что на 0,9 %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ниже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уровня аналогичного периода прошлого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Снижение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связано с сокращением коров в частном секторе.</w:t>
      </w:r>
    </w:p>
    <w:p w:rsidR="004D2DF8" w:rsidRPr="009C12A8" w:rsidRDefault="5961EC8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 В связи с отсутствием в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сельхозорганизациях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 молочных коров надой на 1 корову не определяется.</w:t>
      </w:r>
    </w:p>
    <w:p w:rsidR="004D2DF8" w:rsidRPr="009C12A8" w:rsidRDefault="5961EC82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>производство молока в сельскохозяйственных организациях и крестьянски</w:t>
      </w:r>
      <w:proofErr w:type="gramStart"/>
      <w:r w:rsidRPr="009C12A8">
        <w:rPr>
          <w:rFonts w:ascii="Times New Roman" w:eastAsia="Times New Roman" w:hAnsi="Times New Roman"/>
          <w:sz w:val="24"/>
          <w:szCs w:val="24"/>
        </w:rPr>
        <w:t>х(</w:t>
      </w:r>
      <w:proofErr w:type="gramEnd"/>
      <w:r w:rsidRPr="009C12A8">
        <w:rPr>
          <w:rFonts w:ascii="Times New Roman" w:eastAsia="Times New Roman" w:hAnsi="Times New Roman"/>
          <w:sz w:val="24"/>
          <w:szCs w:val="24"/>
        </w:rPr>
        <w:t>фермерских) хозяйствах, включая индивидуальных предпринимателей</w:t>
      </w:r>
      <w:r w:rsidRPr="009C12A8">
        <w:rPr>
          <w:rFonts w:ascii="Times New Roman" w:eastAsia="Arial" w:hAnsi="Times New Roman"/>
          <w:sz w:val="24"/>
          <w:szCs w:val="24"/>
        </w:rPr>
        <w:t>,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составило 16,9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т.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Arial" w:hAnsi="Times New Roman"/>
          <w:sz w:val="24"/>
          <w:szCs w:val="24"/>
        </w:rPr>
        <w:t>(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КФХ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), что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ниже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уровня аналогичного периода прошлого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г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на 63,6% (на 01.07.2018 г. - 46,4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т.</w:t>
      </w:r>
      <w:r w:rsidRPr="009C12A8">
        <w:rPr>
          <w:rFonts w:ascii="Times New Roman" w:eastAsia="Times New Roman" w:hAnsi="Times New Roman"/>
          <w:sz w:val="24"/>
          <w:szCs w:val="24"/>
        </w:rPr>
        <w:t>). Снижение связано с</w:t>
      </w:r>
      <w:r w:rsidR="006432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2A8">
        <w:rPr>
          <w:rFonts w:ascii="Times New Roman" w:eastAsia="Times New Roman" w:hAnsi="Times New Roman"/>
          <w:sz w:val="24"/>
          <w:szCs w:val="24"/>
        </w:rPr>
        <w:t>закрытием деятельности 10 крестьянских хозяйств.</w:t>
      </w:r>
    </w:p>
    <w:p w:rsidR="004D2DF8" w:rsidRPr="009C12A8" w:rsidRDefault="1BBCC3CE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производство шерсти составило 16,8 </w:t>
      </w:r>
      <w:r w:rsidR="007649A8" w:rsidRPr="009C12A8">
        <w:rPr>
          <w:rFonts w:ascii="Times New Roman" w:eastAsia="Times New Roman" w:hAnsi="Times New Roman"/>
          <w:sz w:val="24"/>
          <w:szCs w:val="24"/>
        </w:rPr>
        <w:t>т.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ИП ГКФХ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), что в 2.9 раз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выше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уровня аналогичного периода прошлого </w:t>
      </w:r>
      <w:r w:rsidR="00205189" w:rsidRPr="009C12A8">
        <w:rPr>
          <w:rFonts w:ascii="Times New Roman" w:eastAsia="Times New Roman" w:hAnsi="Times New Roman"/>
          <w:sz w:val="24"/>
          <w:szCs w:val="24"/>
        </w:rPr>
        <w:t>года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C12A8">
        <w:rPr>
          <w:rFonts w:ascii="Times New Roman" w:eastAsia="Times New Roman" w:hAnsi="Times New Roman"/>
          <w:iCs/>
          <w:sz w:val="24"/>
          <w:szCs w:val="24"/>
        </w:rPr>
        <w:t>Увеличение</w:t>
      </w:r>
      <w:r w:rsidRPr="009C12A8">
        <w:rPr>
          <w:rFonts w:ascii="Times New Roman" w:eastAsia="Times New Roman" w:hAnsi="Times New Roman"/>
          <w:sz w:val="24"/>
          <w:szCs w:val="24"/>
        </w:rPr>
        <w:t xml:space="preserve"> связано с тем, что в крестьянском хозяйстве В.Л. производится закуп баранчиков.</w:t>
      </w:r>
    </w:p>
    <w:p w:rsidR="004D2DF8" w:rsidRPr="009C12A8" w:rsidRDefault="1BBCC3CE" w:rsidP="00055A4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12A8">
        <w:rPr>
          <w:rFonts w:ascii="Times New Roman" w:eastAsia="Times New Roman" w:hAnsi="Times New Roman"/>
          <w:sz w:val="24"/>
          <w:szCs w:val="24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сельхозтоваропроизводителей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 на общую сумму 1,1 </w:t>
      </w:r>
      <w:r w:rsidRPr="009C12A8">
        <w:rPr>
          <w:rFonts w:ascii="Times New Roman" w:eastAsia="Times New Roman" w:hAnsi="Times New Roman"/>
          <w:sz w:val="24"/>
          <w:szCs w:val="24"/>
        </w:rPr>
        <w:lastRenderedPageBreak/>
        <w:t xml:space="preserve">млн. руб. (на 01.07.2018 г. – 1,3 млн. руб.). Государственная поддержка оказана 16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сельхозтоваропроизводителям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 xml:space="preserve">, в т.ч.  1 </w:t>
      </w:r>
      <w:proofErr w:type="spellStart"/>
      <w:r w:rsidRPr="009C12A8">
        <w:rPr>
          <w:rFonts w:ascii="Times New Roman" w:eastAsia="Times New Roman" w:hAnsi="Times New Roman"/>
          <w:sz w:val="24"/>
          <w:szCs w:val="24"/>
        </w:rPr>
        <w:t>сельхозорганизации</w:t>
      </w:r>
      <w:proofErr w:type="spellEnd"/>
      <w:r w:rsidRPr="009C12A8">
        <w:rPr>
          <w:rFonts w:ascii="Times New Roman" w:eastAsia="Times New Roman" w:hAnsi="Times New Roman"/>
          <w:sz w:val="24"/>
          <w:szCs w:val="24"/>
        </w:rPr>
        <w:t>, 15 КФХ и ИП.</w:t>
      </w:r>
    </w:p>
    <w:sectPr w:rsidR="004D2DF8" w:rsidRPr="009C12A8" w:rsidSect="00B9023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1C" w:rsidRDefault="00CC731C" w:rsidP="00D57793">
      <w:pPr>
        <w:spacing w:after="0" w:line="240" w:lineRule="auto"/>
      </w:pPr>
      <w:r>
        <w:separator/>
      </w:r>
    </w:p>
  </w:endnote>
  <w:endnote w:type="continuationSeparator" w:id="0">
    <w:p w:rsidR="00CC731C" w:rsidRDefault="00CC731C" w:rsidP="00D5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1C" w:rsidRDefault="00CC731C" w:rsidP="00D57793">
      <w:pPr>
        <w:spacing w:after="0" w:line="240" w:lineRule="auto"/>
      </w:pPr>
      <w:r>
        <w:separator/>
      </w:r>
    </w:p>
  </w:footnote>
  <w:footnote w:type="continuationSeparator" w:id="0">
    <w:p w:rsidR="00CC731C" w:rsidRDefault="00CC731C" w:rsidP="00D5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863"/>
    <w:multiLevelType w:val="hybridMultilevel"/>
    <w:tmpl w:val="5AC0E6C2"/>
    <w:lvl w:ilvl="0" w:tplc="1932D63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204A07F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CDC92C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8C0DB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8CE29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C40F5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565C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E76009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6E8D8D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9F2BDD"/>
    <w:multiLevelType w:val="hybridMultilevel"/>
    <w:tmpl w:val="D9E6E7D2"/>
    <w:lvl w:ilvl="0" w:tplc="246ED9F2">
      <w:start w:val="1"/>
      <w:numFmt w:val="bullet"/>
      <w:lvlText w:val="–"/>
      <w:lvlJc w:val="left"/>
      <w:pPr>
        <w:ind w:left="1428" w:hanging="360"/>
      </w:pPr>
      <w:rPr>
        <w:rFonts w:ascii="Poor Richard" w:hAnsi="Poor Richar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E63209"/>
    <w:multiLevelType w:val="hybridMultilevel"/>
    <w:tmpl w:val="91BAF84C"/>
    <w:lvl w:ilvl="0" w:tplc="05724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6F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07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3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07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82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01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C7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C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D22AE"/>
    <w:multiLevelType w:val="hybridMultilevel"/>
    <w:tmpl w:val="522015FA"/>
    <w:lvl w:ilvl="0" w:tplc="7EA02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E5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8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87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26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8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E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4A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06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237D2"/>
    <w:multiLevelType w:val="hybridMultilevel"/>
    <w:tmpl w:val="594A029E"/>
    <w:lvl w:ilvl="0" w:tplc="BD84E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0E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CD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6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09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89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8D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8C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C5C57"/>
    <w:multiLevelType w:val="hybridMultilevel"/>
    <w:tmpl w:val="9FD2ADE2"/>
    <w:lvl w:ilvl="0" w:tplc="66C8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C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45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E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E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4B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2B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B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C8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F7F"/>
    <w:rsid w:val="00025389"/>
    <w:rsid w:val="000412C6"/>
    <w:rsid w:val="00055A4C"/>
    <w:rsid w:val="000A46BB"/>
    <w:rsid w:val="000D0488"/>
    <w:rsid w:val="00113276"/>
    <w:rsid w:val="001371FD"/>
    <w:rsid w:val="00140909"/>
    <w:rsid w:val="00157702"/>
    <w:rsid w:val="001643E8"/>
    <w:rsid w:val="00193506"/>
    <w:rsid w:val="001B4CED"/>
    <w:rsid w:val="001D33F5"/>
    <w:rsid w:val="001E2510"/>
    <w:rsid w:val="00201F39"/>
    <w:rsid w:val="00205189"/>
    <w:rsid w:val="002138E4"/>
    <w:rsid w:val="00245777"/>
    <w:rsid w:val="00295724"/>
    <w:rsid w:val="00297BE5"/>
    <w:rsid w:val="002C595D"/>
    <w:rsid w:val="002D2627"/>
    <w:rsid w:val="00315D0C"/>
    <w:rsid w:val="00340208"/>
    <w:rsid w:val="00385270"/>
    <w:rsid w:val="003A5FDB"/>
    <w:rsid w:val="003C403C"/>
    <w:rsid w:val="003F5001"/>
    <w:rsid w:val="0041590B"/>
    <w:rsid w:val="00454AD1"/>
    <w:rsid w:val="00464381"/>
    <w:rsid w:val="0046640E"/>
    <w:rsid w:val="00482115"/>
    <w:rsid w:val="004A6B15"/>
    <w:rsid w:val="004D2DF8"/>
    <w:rsid w:val="004E3436"/>
    <w:rsid w:val="005030D5"/>
    <w:rsid w:val="005123FC"/>
    <w:rsid w:val="005A7CD3"/>
    <w:rsid w:val="005B41B6"/>
    <w:rsid w:val="005E5360"/>
    <w:rsid w:val="005F5540"/>
    <w:rsid w:val="00615D35"/>
    <w:rsid w:val="0064322B"/>
    <w:rsid w:val="00650238"/>
    <w:rsid w:val="00670C8B"/>
    <w:rsid w:val="00687BD3"/>
    <w:rsid w:val="006941B6"/>
    <w:rsid w:val="00696A1A"/>
    <w:rsid w:val="006A49D7"/>
    <w:rsid w:val="006B3F73"/>
    <w:rsid w:val="006F458B"/>
    <w:rsid w:val="00712067"/>
    <w:rsid w:val="007254A1"/>
    <w:rsid w:val="00743BE0"/>
    <w:rsid w:val="00756C63"/>
    <w:rsid w:val="007649A8"/>
    <w:rsid w:val="00790DF6"/>
    <w:rsid w:val="007930B4"/>
    <w:rsid w:val="007E1265"/>
    <w:rsid w:val="007E4349"/>
    <w:rsid w:val="00801088"/>
    <w:rsid w:val="008042F3"/>
    <w:rsid w:val="00806009"/>
    <w:rsid w:val="00823A54"/>
    <w:rsid w:val="00837A1B"/>
    <w:rsid w:val="00865CF6"/>
    <w:rsid w:val="00877852"/>
    <w:rsid w:val="008A3BFC"/>
    <w:rsid w:val="008B0B3A"/>
    <w:rsid w:val="008D5FB7"/>
    <w:rsid w:val="008D7047"/>
    <w:rsid w:val="0095049D"/>
    <w:rsid w:val="00955AE1"/>
    <w:rsid w:val="00962FEE"/>
    <w:rsid w:val="00985245"/>
    <w:rsid w:val="009932F2"/>
    <w:rsid w:val="009B53A1"/>
    <w:rsid w:val="009C12A8"/>
    <w:rsid w:val="009E66BB"/>
    <w:rsid w:val="009F6848"/>
    <w:rsid w:val="00A01791"/>
    <w:rsid w:val="00A07FCF"/>
    <w:rsid w:val="00A24B8B"/>
    <w:rsid w:val="00A30554"/>
    <w:rsid w:val="00A355D1"/>
    <w:rsid w:val="00A355E4"/>
    <w:rsid w:val="00A6474B"/>
    <w:rsid w:val="00A772BB"/>
    <w:rsid w:val="00AB1FEA"/>
    <w:rsid w:val="00AF5E5B"/>
    <w:rsid w:val="00B063F9"/>
    <w:rsid w:val="00B1074D"/>
    <w:rsid w:val="00B1240C"/>
    <w:rsid w:val="00B12738"/>
    <w:rsid w:val="00B275E7"/>
    <w:rsid w:val="00B442CE"/>
    <w:rsid w:val="00B55222"/>
    <w:rsid w:val="00B758AD"/>
    <w:rsid w:val="00B90235"/>
    <w:rsid w:val="00B92E4E"/>
    <w:rsid w:val="00B96F8A"/>
    <w:rsid w:val="00BC4D42"/>
    <w:rsid w:val="00BE66FE"/>
    <w:rsid w:val="00C44737"/>
    <w:rsid w:val="00C57002"/>
    <w:rsid w:val="00C65BB0"/>
    <w:rsid w:val="00C9286B"/>
    <w:rsid w:val="00C93C49"/>
    <w:rsid w:val="00CC267D"/>
    <w:rsid w:val="00CC731C"/>
    <w:rsid w:val="00D173DD"/>
    <w:rsid w:val="00D57793"/>
    <w:rsid w:val="00D771B9"/>
    <w:rsid w:val="00D9333B"/>
    <w:rsid w:val="00DA0279"/>
    <w:rsid w:val="00DE6E83"/>
    <w:rsid w:val="00DF3630"/>
    <w:rsid w:val="00E03B6C"/>
    <w:rsid w:val="00E1163D"/>
    <w:rsid w:val="00E22F7F"/>
    <w:rsid w:val="00E644F6"/>
    <w:rsid w:val="00E76C00"/>
    <w:rsid w:val="00E8248C"/>
    <w:rsid w:val="00EA0320"/>
    <w:rsid w:val="00EB2455"/>
    <w:rsid w:val="00EC350C"/>
    <w:rsid w:val="00EC685A"/>
    <w:rsid w:val="00ED2C9D"/>
    <w:rsid w:val="00F101DA"/>
    <w:rsid w:val="00F17215"/>
    <w:rsid w:val="00F22E17"/>
    <w:rsid w:val="00F925C0"/>
    <w:rsid w:val="00FD2601"/>
    <w:rsid w:val="00FE466B"/>
    <w:rsid w:val="01873726"/>
    <w:rsid w:val="0F2C6DF2"/>
    <w:rsid w:val="1AB1A024"/>
    <w:rsid w:val="1BBCC3CE"/>
    <w:rsid w:val="1C30B7CE"/>
    <w:rsid w:val="25F76B5B"/>
    <w:rsid w:val="2618B2B8"/>
    <w:rsid w:val="5961EC82"/>
    <w:rsid w:val="5C066F03"/>
    <w:rsid w:val="73F3F1CF"/>
    <w:rsid w:val="75C8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D2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B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5B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5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7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5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7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D2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AEDE-86E8-4353-AC00-AE1533F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Kandarakov</dc:creator>
  <cp:lastModifiedBy>User</cp:lastModifiedBy>
  <cp:revision>19</cp:revision>
  <dcterms:created xsi:type="dcterms:W3CDTF">2019-09-19T10:13:00Z</dcterms:created>
  <dcterms:modified xsi:type="dcterms:W3CDTF">2021-03-12T01:25:00Z</dcterms:modified>
</cp:coreProperties>
</file>