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03" w:rsidRPr="00CB77DB" w:rsidRDefault="002A6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77DB">
        <w:rPr>
          <w:rFonts w:ascii="Times New Roman" w:hAnsi="Times New Roman"/>
          <w:b/>
          <w:sz w:val="24"/>
          <w:szCs w:val="24"/>
        </w:rPr>
        <w:t>Аналитическая записка</w:t>
      </w:r>
    </w:p>
    <w:p w:rsidR="00763603" w:rsidRPr="00CB77DB" w:rsidRDefault="002A6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7DB">
        <w:rPr>
          <w:rFonts w:ascii="Times New Roman" w:hAnsi="Times New Roman"/>
          <w:b/>
          <w:sz w:val="24"/>
          <w:szCs w:val="24"/>
        </w:rPr>
        <w:t xml:space="preserve">к мониторингу социально-экономического развития муниципального образования «Чемальский район» </w:t>
      </w:r>
      <w:r w:rsidRPr="00CB77DB">
        <w:rPr>
          <w:rFonts w:ascii="Times New Roman" w:hAnsi="Times New Roman"/>
          <w:b/>
          <w:sz w:val="24"/>
          <w:szCs w:val="24"/>
        </w:rPr>
        <w:br/>
        <w:t>на 01.07.2022 г.</w:t>
      </w:r>
    </w:p>
    <w:p w:rsidR="00763603" w:rsidRPr="00CB77DB" w:rsidRDefault="0076360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b/>
          <w:sz w:val="24"/>
          <w:szCs w:val="24"/>
        </w:rPr>
        <w:t>Общие показатели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МО «Чемальский район» расположено в </w:t>
      </w:r>
      <w:r w:rsidRPr="00CB77DB">
        <w:rPr>
          <w:rFonts w:ascii="Times New Roman" w:eastAsia="Times New Roman" w:hAnsi="Times New Roman"/>
          <w:color w:val="000000"/>
          <w:sz w:val="24"/>
        </w:rPr>
        <w:t>горно-степной зоне западной</w:t>
      </w:r>
      <w:r w:rsidRPr="00CB77DB">
        <w:rPr>
          <w:rFonts w:ascii="Times New Roman" w:hAnsi="Times New Roman"/>
          <w:sz w:val="24"/>
          <w:szCs w:val="24"/>
        </w:rPr>
        <w:t xml:space="preserve"> части Республики Алтай. Площадь территории муниципального образования составляет 3019 км² (3,26 % от площади республики).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В состав входят 7 сельских поселений, 19 населенных пунктов. Административный центр – село Чемал находится на расстоянии 105 км от республиканского центра г. Горно-Алтайска. 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>Оценка численности постоянного населения муниципального образования на 01.01.2022 г. составила 11235 чел. Плотность населения муниципального образования –  3,7 чел. на 1 км</w:t>
      </w:r>
      <w:r w:rsidRPr="00CB77DB">
        <w:rPr>
          <w:rFonts w:ascii="Times New Roman" w:hAnsi="Times New Roman"/>
          <w:sz w:val="24"/>
          <w:szCs w:val="24"/>
          <w:vertAlign w:val="superscript"/>
        </w:rPr>
        <w:t>2</w:t>
      </w:r>
      <w:r w:rsidRPr="00CB77DB">
        <w:rPr>
          <w:rFonts w:ascii="Times New Roman" w:hAnsi="Times New Roman"/>
          <w:sz w:val="24"/>
          <w:szCs w:val="24"/>
        </w:rPr>
        <w:t>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Мониторинг социально-экономического развития МО «Чемальский район» осуществляется в рамках Соглашения в области планирования социально-экономического развития МО «Чемальский район» на 2022г. от 26 августа 2022 г.</w:t>
      </w:r>
    </w:p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B77D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CB77DB">
        <w:rPr>
          <w:rFonts w:ascii="Times New Roman" w:hAnsi="Times New Roman"/>
          <w:b/>
          <w:bCs/>
          <w:sz w:val="24"/>
          <w:szCs w:val="24"/>
        </w:rPr>
        <w:t>. Реальный сектор экономики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Cs w:val="24"/>
        </w:rPr>
      </w:pPr>
      <w:r w:rsidRPr="00CB77DB">
        <w:rPr>
          <w:rFonts w:ascii="Times New Roman" w:hAnsi="Times New Roman"/>
          <w:sz w:val="24"/>
          <w:szCs w:val="24"/>
        </w:rPr>
        <w:t xml:space="preserve">Основными бюджетообразующими отраслями реального сектора экономики МО «Чемальский район»  являются </w:t>
      </w:r>
      <w:r w:rsidRPr="00CB77DB">
        <w:rPr>
          <w:rFonts w:ascii="Times New Roman" w:eastAsia="Times New Roman" w:hAnsi="Times New Roman"/>
          <w:color w:val="000000"/>
          <w:sz w:val="24"/>
        </w:rPr>
        <w:t>торговля, деятельность гостиниц и общественного питания</w:t>
      </w:r>
      <w:r w:rsidRPr="00CB77DB">
        <w:rPr>
          <w:rFonts w:ascii="Times New Roman" w:hAnsi="Times New Roman"/>
          <w:sz w:val="24"/>
          <w:szCs w:val="24"/>
        </w:rPr>
        <w:t>.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sz w:val="24"/>
          <w:szCs w:val="24"/>
        </w:rPr>
        <w:t xml:space="preserve">1.1. </w:t>
      </w:r>
      <w:r w:rsidRPr="00CB77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Промышленное производство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eastAsia="Times New Roman" w:hAnsi="Times New Roman"/>
          <w:sz w:val="24"/>
          <w:szCs w:val="24"/>
          <w:lang w:eastAsia="ar-SA"/>
        </w:rPr>
        <w:t>Количество предприятий и организаций по «чистым видам» экономической деятельности в сфере промышленности, действующих по состоянию на 01.07.2022 г., по МО «Чемальский район» составило  24  ед., на уровне прошлого года (на 01.07.2021 г. –            24 ед.).</w:t>
      </w:r>
    </w:p>
    <w:p w:rsidR="00763603" w:rsidRPr="00CB77DB" w:rsidRDefault="002A6BFB">
      <w:pPr>
        <w:pStyle w:val="af8"/>
        <w:shd w:val="clear" w:color="auto" w:fill="FFFFFF"/>
        <w:spacing w:before="0" w:after="0"/>
        <w:ind w:firstLine="709"/>
        <w:jc w:val="both"/>
      </w:pPr>
      <w:r w:rsidRPr="00CB77DB">
        <w:t>В сфере промышленного производства в январе - июне 2022 года сводный индекс промышленного производства (далее – ИПП) составил 74,8 % (по Республике Алтай – 98%), объем отгруженной промышленными предприятиями продукции – 96,312 млн. руб. (8,57 тыс. руб. на чел.).</w:t>
      </w:r>
    </w:p>
    <w:p w:rsidR="00763603" w:rsidRPr="00CB77DB" w:rsidRDefault="002A6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В сравнении с планом на 01.07.2022 г. отмечено отклонение ИФО объема промышленного производства на (-) 22,9 процентных пункта.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по разделу D «Обеспечение электрической энергией, газом и паром; кондиционирование воздуха» ИФО составил 53,5 % (</w:t>
      </w:r>
      <w:r w:rsidRPr="00CB77DB">
        <w:rPr>
          <w:rFonts w:cs="Calibri"/>
          <w:color w:val="000000"/>
          <w:sz w:val="24"/>
        </w:rPr>
        <w:t>по Республике Алтай – 92,5%</w:t>
      </w:r>
      <w:r w:rsidRPr="00CB77DB">
        <w:rPr>
          <w:rFonts w:ascii="Times New Roman" w:eastAsia="Times New Roman" w:hAnsi="Times New Roman"/>
          <w:color w:val="000000"/>
          <w:sz w:val="24"/>
        </w:rPr>
        <w:t>), снижение производства произошло за счет снижения выработки электроэнергии солнечной электростанцией</w:t>
      </w:r>
      <w:r w:rsidRPr="00CB77DB">
        <w:rPr>
          <w:rFonts w:cs="Calibri"/>
          <w:color w:val="000000"/>
        </w:rPr>
        <w:t>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ИПП по разделу В «Добыча полезных ископаемых» составил 181,7 % (по Республике Алтай –  100,2   %). Рост производства произошел за счет роста добычи песка, гравия, глины ИП Кайгородовым М.В.</w:t>
      </w:r>
    </w:p>
    <w:p w:rsidR="00763603" w:rsidRPr="000F373D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Arial" w:hAnsi="Times New Roman"/>
          <w:color w:val="000000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ИПП по разделу С «Обрабатывающие производства» составил 119,6 % (по Республике Алтай -   101,5 %). Увеличение произошло в основном за счет увеличения объемов производства </w:t>
      </w:r>
      <w:r w:rsidRPr="000F373D">
        <w:rPr>
          <w:rFonts w:ascii="Times New Roman" w:eastAsia="Arial" w:hAnsi="Times New Roman"/>
          <w:color w:val="000000"/>
        </w:rPr>
        <w:t xml:space="preserve">хлебобулочных изделий (на (+) 30,37%), кондитерских мучных изделий (на (+) 33,3%, а также пряников и печенья магазином ООО «Аникс», и ООО «Димитрий».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На основании Закона «О статистической отчетности» в рамках конфиденциальности информации, где отчетность представлена менее, чем тремя субъектами, данные по видам деятельности производства продукции территориальным отделением Алтайкрастата по Республике Алтай не представлены, в связи с этим анализ произвести не имеется возможности.  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sz w:val="24"/>
          <w:szCs w:val="24"/>
        </w:rPr>
        <w:lastRenderedPageBreak/>
        <w:t xml:space="preserve">Выводы: </w:t>
      </w:r>
      <w:r w:rsidRPr="00CB77DB">
        <w:rPr>
          <w:rFonts w:ascii="Times New Roman" w:eastAsia="Times New Roman" w:hAnsi="Times New Roman"/>
          <w:color w:val="000000"/>
          <w:sz w:val="24"/>
        </w:rPr>
        <w:t>основное влияние на снижение ИПП оказало снижение объемов производства по виду деятельности «Обеспечение электрической энергией, газом и паром; кондиционирование воздуха».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Для повышения показателей проводятся следующие мероприятия: оказывается поддержка предпринимателям в развитии промышленности по изготовлению пряников, печенья, производства керамических изделий, также проводится информирование предпринимателей в сфере промышленности об обязательной сдачи отчетности в Алтайкрайстат.</w:t>
      </w:r>
    </w:p>
    <w:p w:rsidR="00763603" w:rsidRPr="00CB77DB" w:rsidRDefault="007636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1.2. Малое и среднее предпринимательство</w:t>
      </w:r>
    </w:p>
    <w:p w:rsidR="00763603" w:rsidRPr="00CB77DB" w:rsidRDefault="002A6BFB">
      <w:pPr>
        <w:shd w:val="clear" w:color="auto" w:fill="FFFFFF"/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По данным Единого реестра субъектов малого и среднего предпринимательства по состоянию на 10.07.2022 г. на территории МО «Чемальский район» зарегистрировано 421 субъект малого и среднего предпринимательства, из которых малые предприятия составили 8 ед., микропредприятия – 413 ед., средние предприятия – 0 ед. </w:t>
      </w:r>
    </w:p>
    <w:p w:rsidR="00763603" w:rsidRPr="00CB77DB" w:rsidRDefault="002A6BFB">
      <w:pPr>
        <w:shd w:val="clear" w:color="auto" w:fill="FFFFFF"/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По данным Управления Федеральной налоговой службы по Республике Алтай в МО «Чемальский район» по состоянию на 10.07.2022 г. зарегистрировано 568 налогоплательщиков, применяющих специальный налоговый режим «Налог на профессиональный доход», в том числе 42 индивидуальных предпринимателя, 526 физических лиц. </w:t>
      </w:r>
    </w:p>
    <w:p w:rsidR="00763603" w:rsidRPr="00CB77DB" w:rsidRDefault="002A6BFB">
      <w:pPr>
        <w:shd w:val="clear" w:color="auto" w:fill="FFFFFF"/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Численность занятых в сфере МСП в МО «Чемальский район» по состоянию на 10.07.2022 г. составляет 1229 чел. Численность занятых в сфере МСП в расчете на 1 тыс. населения –109,39 чел. </w:t>
      </w:r>
    </w:p>
    <w:p w:rsidR="00763603" w:rsidRPr="00CB77DB" w:rsidRDefault="002A6BFB">
      <w:pPr>
        <w:shd w:val="clear" w:color="auto" w:fill="FFFFFF"/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>В сравнении с планом на 01.07.2022 г. отмечено отклонение на (+) 0,39 ед. Причинами отклонения от планового значения является открытие туристического сезона 2022 г.</w:t>
      </w:r>
    </w:p>
    <w:p w:rsidR="00763603" w:rsidRPr="00CB77DB" w:rsidRDefault="002A6BFB">
      <w:pPr>
        <w:shd w:val="clear" w:color="auto" w:fill="FFFFFF"/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>Отраслевая структура малого и среднего бизнеса на 10.07.2022 г. выглядит следующим образом:</w:t>
      </w:r>
    </w:p>
    <w:p w:rsidR="00763603" w:rsidRPr="00CB77DB" w:rsidRDefault="002A6BFB">
      <w:pPr>
        <w:shd w:val="clear" w:color="auto" w:fill="FFFFFF"/>
        <w:spacing w:after="0" w:line="240" w:lineRule="auto"/>
        <w:ind w:firstLine="709"/>
        <w:contextualSpacing/>
        <w:jc w:val="right"/>
      </w:pPr>
      <w:r w:rsidRPr="00CB77DB">
        <w:rPr>
          <w:rFonts w:eastAsia="Times New Roman"/>
        </w:rPr>
        <w:t xml:space="preserve"> </w:t>
      </w:r>
      <w:r w:rsidRPr="00CB77DB">
        <w:t>(%)</w:t>
      </w:r>
    </w:p>
    <w:tbl>
      <w:tblPr>
        <w:tblW w:w="5000" w:type="pct"/>
        <w:tblInd w:w="-59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60"/>
        <w:gridCol w:w="1258"/>
        <w:gridCol w:w="1278"/>
        <w:gridCol w:w="2511"/>
      </w:tblGrid>
      <w:tr w:rsidR="00763603" w:rsidRPr="00CB77DB">
        <w:tc>
          <w:tcPr>
            <w:tcW w:w="4335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 Наименование отрасли ВЭД</w:t>
            </w:r>
          </w:p>
        </w:tc>
        <w:tc>
          <w:tcPr>
            <w:tcW w:w="25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Количество СМСП</w:t>
            </w:r>
          </w:p>
        </w:tc>
        <w:tc>
          <w:tcPr>
            <w:tcW w:w="2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Численность занятых в сфере МСП</w:t>
            </w:r>
          </w:p>
        </w:tc>
      </w:tr>
      <w:tr w:rsidR="00763603" w:rsidRPr="00CB77DB">
        <w:tc>
          <w:tcPr>
            <w:tcW w:w="4335" w:type="dxa"/>
            <w:vMerge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763603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16"/>
                <w:szCs w:val="16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16"/>
                <w:szCs w:val="16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16"/>
                <w:szCs w:val="16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16"/>
                <w:szCs w:val="16"/>
                <w:lang w:eastAsia="ru-RU"/>
              </w:rPr>
              <w:t>чел.</w:t>
            </w:r>
          </w:p>
        </w:tc>
      </w:tr>
      <w:tr w:rsidR="00763603" w:rsidRPr="00CB77DB">
        <w:trPr>
          <w:trHeight w:val="334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 xml:space="preserve"> 703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88</w:t>
            </w:r>
          </w:p>
        </w:tc>
      </w:tr>
      <w:tr w:rsidR="00763603" w:rsidRPr="00CB77DB">
        <w:trPr>
          <w:trHeight w:val="313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34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21</w:t>
            </w:r>
          </w:p>
        </w:tc>
      </w:tr>
      <w:tr w:rsidR="00763603" w:rsidRPr="00CB77DB">
        <w:trPr>
          <w:trHeight w:val="750"/>
        </w:trPr>
        <w:tc>
          <w:tcPr>
            <w:tcW w:w="4335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FFFFFF" w:fill="FFFFFF"/>
            <w:vAlign w:val="center"/>
          </w:tcPr>
          <w:p w:rsidR="00763603" w:rsidRPr="00CB77DB" w:rsidRDefault="002A6BFB">
            <w:pPr>
              <w:pStyle w:val="2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0" w:after="300"/>
            </w:pPr>
            <w:r w:rsidRPr="00CB77DB">
              <w:rPr>
                <w:rFonts w:ascii="PT Sans" w:eastAsia="PT Sans" w:hAnsi="PT Sans" w:cs="PT Sans"/>
                <w:color w:val="000000"/>
                <w:sz w:val="36"/>
              </w:rPr>
              <w:t> </w:t>
            </w:r>
            <w:r w:rsidRPr="00CB77D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51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FFFFFF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FFFFFF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97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</w:tr>
      <w:tr w:rsidR="00763603" w:rsidRPr="00CB77DB">
        <w:trPr>
          <w:trHeight w:val="254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43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lastRenderedPageBreak/>
              <w:t xml:space="preserve">Торговля оптовая и розничная 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117</w:t>
            </w:r>
          </w:p>
        </w:tc>
      </w:tr>
      <w:tr w:rsidR="00763603" w:rsidRPr="00CB77DB">
        <w:trPr>
          <w:trHeight w:val="381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29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180</w:t>
            </w:r>
          </w:p>
        </w:tc>
      </w:tr>
      <w:tr w:rsidR="00763603" w:rsidRPr="00CB77DB">
        <w:trPr>
          <w:trHeight w:val="691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10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30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18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51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6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50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12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9</w:t>
            </w:r>
          </w:p>
        </w:tc>
      </w:tr>
      <w:tr w:rsidR="00763603" w:rsidRPr="00CB77DB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5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</w:tcPr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7636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</w:p>
          <w:p w:rsidR="00763603" w:rsidRPr="00CB77DB" w:rsidRDefault="002A6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</w:pPr>
            <w:r w:rsidRPr="00CB77DB">
              <w:rPr>
                <w:rFonts w:ascii="Times New Roman" w:hAnsi="Times New Roman"/>
                <w:color w:val="202020"/>
                <w:sz w:val="24"/>
                <w:szCs w:val="24"/>
                <w:lang w:eastAsia="ru-RU"/>
              </w:rPr>
              <w:t>0</w:t>
            </w:r>
          </w:p>
        </w:tc>
      </w:tr>
    </w:tbl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В целях увеличения количества субъектов малого и среднего предпринимательства в МО «Чемальский район» проведены следующие мероприятия: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-консультации для субъектов МСП;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- на официальном сайте администрации МО «Чемальский район» РА, официальных страничках администрации Чемальского района в сети интернет, а также в мессенджере WhatsAppр размещена информация для субъектов МСП о государственной и муниципальной поддержке, онлайн треннингах и т.д.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Таким образом, с целью создания благоприятных условий для эффективного развития малого и среднего предпринимательства и на территории МО «Чемальский район» необходимо: активное информирование субъектов МСП о мерах государственной поддержки, а также проведение информационной кампании о преимуществах применения налогового режима «Налога на профессиональный доход» и регистрации в качестве самозанятого.</w:t>
      </w:r>
    </w:p>
    <w:p w:rsidR="00763603" w:rsidRPr="00CB77DB" w:rsidRDefault="007636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bCs/>
          <w:sz w:val="24"/>
          <w:szCs w:val="24"/>
        </w:rPr>
        <w:t>1.3. Сельское хозяйство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lastRenderedPageBreak/>
        <w:t>В аграрном секторе по виду деятельности «Сельское хозяйство» зарегистрировано 2 сельскохозяйственных предприятия, из них фактически осуществляют свою деятельность 2 ед., из которых 2 сельхозорганизаций. Также зарегистрировано 92 крестьянских (фермерских) хозяйства и индивидуальных предпринимателей (далее – КФХ), из которых фактически осуществляют деятельность 60 ед. Кроме того осуществляют деятельность 2 СПОКа и 4051 личное подсобное хозяйство (далее – ЛПХ).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Объем производства сельскохозяйственной продукции в хозяйствах всех категорий на 01.07.2022 г. в фактически действовавших ценах составил 106,4 млн. руб. (на душу населения 9,47 тыс. руб.), в том числе продукция животноводства – 104,9 млн. руб., продукция растениеводства – 1,5 млн. руб. В сравнении с 01.07.2021 г. наблюдается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рост </w:t>
      </w:r>
      <w:r w:rsidRPr="00CB77DB">
        <w:rPr>
          <w:rFonts w:ascii="Times New Roman" w:eastAsia="Times New Roman" w:hAnsi="Times New Roman"/>
          <w:color w:val="000000"/>
          <w:sz w:val="24"/>
        </w:rPr>
        <w:t>объема производства сельскохозяйственной продукции на 6,1 млн. руб. или на (+) 6,1%, что связано с ростом объема производства продукции животноводства (скот и птица на убой, молоко, шерсть, пух, яйца, мед, панты).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Индекс производства сельскохозяйственной продукции в хозяйствах всех категорий составил 100,5 %, в том числе продукции животноводства — 100,5 %, продукции растениеводства – 97,4 %. В сравнении с аналогичным периодом предыдущего года отмечен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рост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индекса производства сельскохозяйственной продукции в хозяйствах всех категорий на 1,3 процентных пункт</w:t>
      </w:r>
      <w:r w:rsidR="00174172" w:rsidRPr="00CB77DB">
        <w:rPr>
          <w:rFonts w:ascii="Times New Roman" w:eastAsia="Times New Roman" w:hAnsi="Times New Roman"/>
          <w:color w:val="000000"/>
          <w:sz w:val="24"/>
        </w:rPr>
        <w:t>а</w:t>
      </w:r>
      <w:r w:rsidRPr="00CB77DB">
        <w:rPr>
          <w:rFonts w:ascii="Times New Roman" w:eastAsia="Times New Roman" w:hAnsi="Times New Roman"/>
          <w:color w:val="000000"/>
          <w:sz w:val="24"/>
        </w:rPr>
        <w:t>.</w:t>
      </w:r>
    </w:p>
    <w:p w:rsidR="0078479F" w:rsidRPr="00CB77DB" w:rsidRDefault="0078479F" w:rsidP="0078479F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сравнении с планом на 01.07.2022 г. отмечен рост показателя на (+) 0,5 процентных </w:t>
      </w:r>
      <w:r w:rsidR="00174172"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пункта, </w:t>
      </w:r>
      <w:r w:rsidR="00174172" w:rsidRPr="00CB77DB">
        <w:rPr>
          <w:rFonts w:ascii="Times New Roman" w:eastAsia="Times New Roman" w:hAnsi="Times New Roman"/>
          <w:sz w:val="24"/>
        </w:rPr>
        <w:t>в связи с ростом объема производства продукции животноводства.</w:t>
      </w:r>
    </w:p>
    <w:p w:rsidR="00763603" w:rsidRPr="00CB77DB" w:rsidRDefault="00763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i/>
          <w:color w:val="000000"/>
          <w:sz w:val="24"/>
        </w:rPr>
        <w:t>Растениеводство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  <w:tab w:val="left" w:pos="7798"/>
        </w:tabs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Посевная площадь сельскохозяйственных культур под урожай текущего года в хозяйствах всех категорий (без учета ЛПХ) составила 1569 га. В структуре посевной площади - 99,8 % занято многолетними травами посева прошлых лет, картофелем – 0,08 %, овощами – 0,08 %.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 </w:t>
      </w:r>
    </w:p>
    <w:p w:rsidR="00763603" w:rsidRPr="00FF34A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</w:rPr>
      </w:pPr>
      <w:r w:rsidRPr="00FF34AB">
        <w:rPr>
          <w:rFonts w:ascii="Times New Roman" w:eastAsia="Times New Roman" w:hAnsi="Times New Roman"/>
          <w:i/>
          <w:color w:val="000000"/>
          <w:sz w:val="24"/>
        </w:rPr>
        <w:t>Животноводство</w:t>
      </w:r>
    </w:p>
    <w:p w:rsidR="00763603" w:rsidRPr="00FF34A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708"/>
          <w:tab w:val="left" w:pos="1290"/>
        </w:tabs>
        <w:spacing w:after="0"/>
        <w:ind w:firstLine="709"/>
        <w:jc w:val="both"/>
        <w:rPr>
          <w:rFonts w:ascii="Times New Roman" w:hAnsi="Times New Roman"/>
        </w:rPr>
      </w:pPr>
      <w:r w:rsidRPr="00FF34AB">
        <w:rPr>
          <w:rFonts w:ascii="Times New Roman" w:eastAsia="Times New Roman" w:hAnsi="Times New Roman"/>
          <w:color w:val="000000"/>
          <w:sz w:val="24"/>
        </w:rPr>
        <w:t>Поголовье скота в хозяйствах всех категорий на 01.07.2022</w:t>
      </w:r>
      <w:r w:rsidRPr="00FF34AB">
        <w:rPr>
          <w:rFonts w:ascii="Times New Roman" w:hAnsi="Times New Roman"/>
          <w:color w:val="000000"/>
        </w:rPr>
        <w:t> г. составило: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2003"/>
        <w:gridCol w:w="1675"/>
        <w:gridCol w:w="1797"/>
      </w:tblGrid>
      <w:tr w:rsidR="00763603" w:rsidRPr="00CB77DB">
        <w:trPr>
          <w:trHeight w:val="631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Поголовье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на 01.07.2021 г.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на 01.07.2022 г.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Темп роста, %</w:t>
            </w:r>
          </w:p>
        </w:tc>
      </w:tr>
      <w:tr w:rsidR="00763603" w:rsidRPr="00CB77DB"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Крупный рогатый скот,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4054 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4216 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104 </w:t>
            </w:r>
          </w:p>
        </w:tc>
      </w:tr>
      <w:tr w:rsidR="00763603" w:rsidRPr="00CB77DB"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 в т. ч. коров,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1550 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1683 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108,6 </w:t>
            </w:r>
          </w:p>
        </w:tc>
      </w:tr>
      <w:tr w:rsidR="00763603" w:rsidRPr="00CB77DB"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        из них: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    молочного направления,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763603" w:rsidRPr="00CB77DB"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Овцы и козы,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1905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2446 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128,4 </w:t>
            </w:r>
          </w:p>
        </w:tc>
      </w:tr>
      <w:tr w:rsidR="00763603" w:rsidRPr="00CB77DB">
        <w:trPr>
          <w:trHeight w:val="77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Лошади,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3680 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4037 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109,7 </w:t>
            </w:r>
          </w:p>
        </w:tc>
      </w:tr>
      <w:tr w:rsidR="00763603" w:rsidRPr="00CB77DB">
        <w:trPr>
          <w:trHeight w:val="77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Свиньи,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90 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   71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78,9</w:t>
            </w:r>
          </w:p>
        </w:tc>
      </w:tr>
      <w:tr w:rsidR="00763603" w:rsidRPr="00CB77DB">
        <w:trPr>
          <w:trHeight w:val="77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Олени-маралы,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2014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 xml:space="preserve">       2335 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115,9 </w:t>
            </w:r>
          </w:p>
        </w:tc>
      </w:tr>
      <w:tr w:rsidR="00763603" w:rsidRPr="00CB77DB">
        <w:trPr>
          <w:trHeight w:val="77"/>
        </w:trPr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Птица, гол.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13767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14377 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firstLine="2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104,4 </w:t>
            </w:r>
          </w:p>
        </w:tc>
      </w:tr>
    </w:tbl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На 01.07.2022 г. в хозяйствах всех категорий: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поголовье КРС</w:t>
      </w:r>
      <w:r w:rsidRPr="00CB77DB">
        <w:rPr>
          <w:rFonts w:ascii="Times New Roman" w:eastAsia="Times New Roman" w:hAnsi="Times New Roman"/>
          <w:color w:val="000000"/>
          <w:sz w:val="24"/>
        </w:rPr>
        <w:t> 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увеличилось </w:t>
      </w:r>
      <w:r w:rsidRPr="00CB77DB">
        <w:rPr>
          <w:rFonts w:ascii="Times New Roman" w:eastAsia="Times New Roman" w:hAnsi="Times New Roman"/>
          <w:color w:val="000000"/>
          <w:sz w:val="24"/>
        </w:rPr>
        <w:t>на (+) 4% к аналогичному периоду прошлого года за счет приобретения поголовья  КФХ Яныкановым В.Л., учета приплода по всем категориям хозяйств. Средний вес одной головы КРС в сельскохозяйственных организациях составил 350 кг. В целях увеличения поголовья КРС в хозяйствах всех категорий проведены следующие мероприятия: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i/>
          <w:color w:val="000000"/>
          <w:sz w:val="24"/>
        </w:rPr>
        <w:lastRenderedPageBreak/>
        <w:t>проведена разъяснительная работа по идентификации всего поголовья скота в ЛПХ, организованных хозяйствах и отражения в отчетных данных;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поголовье овец и коз</w:t>
      </w:r>
      <w:r w:rsidRPr="00CB77DB">
        <w:rPr>
          <w:rFonts w:ascii="Times New Roman" w:eastAsia="Times New Roman" w:hAnsi="Times New Roman"/>
          <w:color w:val="000000"/>
          <w:sz w:val="24"/>
        </w:rPr>
        <w:t> 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увеличилось </w:t>
      </w:r>
      <w:r w:rsidRPr="00CB77DB">
        <w:rPr>
          <w:rFonts w:ascii="Times New Roman" w:eastAsia="Times New Roman" w:hAnsi="Times New Roman"/>
          <w:color w:val="000000"/>
          <w:sz w:val="24"/>
        </w:rPr>
        <w:t>на (+) 28,4 % к аналогичному периоду прошлого года за счет увеличения в частном секторе (было приобретено 180 голов овец частным сектором Аносинского сельского поселения).  В целях увеличения поголовья овец и коз в хозяйствах всех категорий проведены следующие мероприятия: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i/>
          <w:color w:val="000000"/>
          <w:sz w:val="24"/>
        </w:rPr>
        <w:t>в КФХ в отчетных данных отражен приплод ягнят;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поголовье лошадей</w:t>
      </w:r>
      <w:r w:rsidRPr="00CB77DB">
        <w:rPr>
          <w:rFonts w:ascii="Times New Roman" w:eastAsia="Times New Roman" w:hAnsi="Times New Roman"/>
          <w:color w:val="000000"/>
          <w:sz w:val="24"/>
        </w:rPr>
        <w:t> 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увеличилось </w:t>
      </w:r>
      <w:r w:rsidRPr="00CB77DB">
        <w:rPr>
          <w:rFonts w:ascii="Times New Roman" w:eastAsia="Times New Roman" w:hAnsi="Times New Roman"/>
          <w:color w:val="000000"/>
          <w:sz w:val="24"/>
        </w:rPr>
        <w:t>на (+) 9,7 % к аналогичному периоду прошлого года за счет приплода, реализации проектов по линии Минтруда РА (поддержка населения в приобретении сельхозживотных). Средний вес одной головы лошади в сельскохозяйственных организациях составил 400 кг. В целях увеличения поголовья лошадей в хозяйствах всех категорий проведены следующие мероприятия: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i/>
          <w:color w:val="000000"/>
          <w:sz w:val="24"/>
        </w:rPr>
        <w:t>проведена разъяснительная работа по идентификации всего поголовья скота;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поголовье свиней</w:t>
      </w:r>
      <w:r w:rsidRPr="00CB77DB">
        <w:rPr>
          <w:rFonts w:ascii="Times New Roman" w:eastAsia="Times New Roman" w:hAnsi="Times New Roman"/>
          <w:color w:val="000000"/>
          <w:sz w:val="24"/>
        </w:rPr>
        <w:t> 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уменьшилось </w:t>
      </w:r>
      <w:r w:rsidRPr="00CB77DB">
        <w:rPr>
          <w:rFonts w:ascii="Times New Roman" w:eastAsia="Times New Roman" w:hAnsi="Times New Roman"/>
          <w:color w:val="000000"/>
          <w:sz w:val="24"/>
        </w:rPr>
        <w:t>на (-) 21,1% к аналогичному периоду прошлого года в связи с высокой себестоимостью содержания животных;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количество птиц</w:t>
      </w:r>
      <w:r w:rsidRPr="00CB77DB">
        <w:rPr>
          <w:rFonts w:ascii="Times New Roman" w:eastAsia="Times New Roman" w:hAnsi="Times New Roman"/>
          <w:color w:val="000000"/>
          <w:sz w:val="24"/>
        </w:rPr>
        <w:t> 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увеличилось </w:t>
      </w:r>
      <w:r w:rsidRPr="00CB77DB">
        <w:rPr>
          <w:rFonts w:ascii="Times New Roman" w:eastAsia="Times New Roman" w:hAnsi="Times New Roman"/>
          <w:color w:val="000000"/>
          <w:sz w:val="24"/>
        </w:rPr>
        <w:t>на (+) 4,4% к аналогичному периоду прошлого года за счет приобретения птиц. Удорожание стоимости яиц повлияло на самостоятельное содержание птицы в частном секторе.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708"/>
          <w:tab w:val="left" w:pos="1290"/>
        </w:tabs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Производство продуктов животноводства в хозяйствах всех категорий на 01.07.2022 г. составило</w:t>
      </w:r>
      <w:r w:rsidRPr="00CB77DB">
        <w:rPr>
          <w:rFonts w:cs="Calibri"/>
          <w:color w:val="000000"/>
          <w:sz w:val="28"/>
        </w:rPr>
        <w:t>: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05"/>
        <w:gridCol w:w="1953"/>
        <w:gridCol w:w="1952"/>
        <w:gridCol w:w="1544"/>
      </w:tblGrid>
      <w:tr w:rsidR="00763603" w:rsidRPr="00CB77DB"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Наименование продукции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на 01.07.2021 г.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на 01.07.2022 г.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Темп роста, %</w:t>
            </w:r>
          </w:p>
        </w:tc>
      </w:tr>
      <w:tr w:rsidR="00763603" w:rsidRPr="00CB77DB"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Скот и птица на убой в живом весе, тонн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37,9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45,2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119,2 </w:t>
            </w:r>
          </w:p>
        </w:tc>
      </w:tr>
      <w:tr w:rsidR="00763603" w:rsidRPr="00CB77DB">
        <w:trPr>
          <w:trHeight w:val="251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Молоко, тонн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923,5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943,7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102,2 </w:t>
            </w:r>
          </w:p>
        </w:tc>
      </w:tr>
      <w:tr w:rsidR="00763603" w:rsidRPr="00CB77DB"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  в т.ч.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205,0 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219,0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106,7</w:t>
            </w:r>
          </w:p>
        </w:tc>
      </w:tr>
      <w:tr w:rsidR="00763603" w:rsidRPr="00CB77DB"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Шерсть, тонн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2,1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2,6 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124,2 </w:t>
            </w:r>
          </w:p>
        </w:tc>
      </w:tr>
      <w:tr w:rsidR="00763603" w:rsidRPr="00CB77DB"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Козий пух, тонн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0,05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0,09 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180,0</w:t>
            </w:r>
          </w:p>
        </w:tc>
      </w:tr>
      <w:tr w:rsidR="00763603" w:rsidRPr="00CB77DB"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both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Яйца, тыс. шт.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390,1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409,1 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34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104,9 </w:t>
            </w:r>
          </w:p>
        </w:tc>
      </w:tr>
    </w:tbl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На 01.07.2022 г. в хозяйствах всех категорий: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производство мяса на убой (в живой массе)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составило 45,2 т основные производители  (ИП Денисова М.В., Тадышева Л.И., Попова И.Я.), что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выше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 на (+) 19,2 %.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Увеличение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связано с ростом объема производства мяса в КФХ Денисовой М.В., ЛПХ.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49,4%;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производство молока в хозяйствах всех категорий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составило 943,7 т (КФХ Бочкарев Г.С., ЛПХ), что на (+) 2,2%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выше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года. Значительное у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величение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связано с отражением в отчетных данных показателей КФХ. В отчетах прошлого года производство молока не  было отражено.  Надой на одну корову в </w:t>
      </w:r>
      <w:r w:rsidRPr="00CB77DB">
        <w:rPr>
          <w:rFonts w:ascii="Times New Roman" w:eastAsia="Times New Roman" w:hAnsi="Times New Roman"/>
          <w:color w:val="000000"/>
          <w:sz w:val="24"/>
        </w:rPr>
        <w:lastRenderedPageBreak/>
        <w:t>сельхозорганизациях составляет 7,8 кг., что соответствует уровню аналогичного периода прошлого года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, составило 21,9 т - (КФХ Бочкарев Г.С. Попова И.Я.), что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выше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 на 2,2 %.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Увеличение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связано с отражением производства молока крестьянскими хозяйствами, которые ранее надой молока для собственных нужд не отражали в отчетах;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производство шерсти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составило 2,6 т (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указать основных производителей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), что на (+) 23,8 %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выше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уровня аналогичного периода прошлого года, за счет  увеличения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CB77DB">
        <w:rPr>
          <w:rFonts w:ascii="Times New Roman" w:eastAsia="Times New Roman" w:hAnsi="Times New Roman"/>
          <w:color w:val="000000"/>
          <w:sz w:val="24"/>
        </w:rPr>
        <w:t>поголовья овец.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производство яиц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составило 409,1 тыс. шт., что на (+) 4,9 %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выше </w:t>
      </w:r>
      <w:r w:rsidRPr="00CB77DB">
        <w:rPr>
          <w:rFonts w:ascii="Times New Roman" w:eastAsia="Times New Roman" w:hAnsi="Times New Roman"/>
          <w:color w:val="000000"/>
          <w:sz w:val="24"/>
        </w:rPr>
        <w:t>уровня аналогичного периода прошлого года за счет увеличения поголовья птиц в ЛПХ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 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сельхозтоваропроизводителей на общую сумму 1,9 млн. руб. (на 01.07.2021 г. – 1,1 млн. руб.). Государственная поддержка оказана 6 сельхозтоваропроизводителям, в т.ч. 2 сельхозорганизациям,  4-КФХ и ИП.</w:t>
      </w:r>
    </w:p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B77D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B77DB">
        <w:rPr>
          <w:rFonts w:ascii="Times New Roman" w:hAnsi="Times New Roman"/>
          <w:b/>
          <w:bCs/>
          <w:sz w:val="24"/>
          <w:szCs w:val="24"/>
        </w:rPr>
        <w:t>. Инвестиционная привлекательность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bCs/>
          <w:sz w:val="24"/>
          <w:szCs w:val="24"/>
        </w:rPr>
        <w:t>2.1. Инвестиции в основной капитал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>В МО «Чемальский район» объем инвестиций в основной капитал на 01.07.2022 г. составил: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по организациям, не относящимся к субъектам малого предпринимательства (крупные и средние организации) - 19,92 млн. руб. (ИФО 14,51 % к 01.07.2021г. в сопоставимых ценах). Из них инвестиции в основной капитал: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>- за счет бюджетных средств - 14,67 млн. руб. (темп роста 64,7 % к 01.07.2021 г. в текущих ценах),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>- за счет внебюджетных источников - 5,25 млн. руб. (темп роста 14,5 % к 01.07.2021 г. в текущих ценах), на душу населения - 0,47 тыс. руб. (темп роста 14,24 % к 01.07.2021 г. в текущих ценах).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>В сравнении с планом на 01.07.2022 г. отмечено отклонение темпа роста инвестиций в основной капитал (за исключением бюджетных) на ( - ) 90,09 процентных пункта.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B77DB">
        <w:rPr>
          <w:rFonts w:ascii="Times New Roman" w:hAnsi="Times New Roman"/>
          <w:i/>
          <w:sz w:val="24"/>
          <w:szCs w:val="24"/>
        </w:rPr>
        <w:t>(далее информация по крупным и средним организациям)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Индекс физического объема инвестиций в основной капитал в 2022 году к 2021 году составил 14,51 %. 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Причинами </w:t>
      </w:r>
      <w:r w:rsidRPr="00CB77DB">
        <w:rPr>
          <w:rFonts w:ascii="Times New Roman" w:hAnsi="Times New Roman"/>
          <w:i/>
          <w:sz w:val="24"/>
          <w:szCs w:val="24"/>
        </w:rPr>
        <w:t xml:space="preserve">снижения </w:t>
      </w:r>
      <w:r w:rsidRPr="00CB77DB">
        <w:rPr>
          <w:rFonts w:ascii="Times New Roman" w:hAnsi="Times New Roman"/>
          <w:sz w:val="24"/>
          <w:szCs w:val="24"/>
        </w:rPr>
        <w:t xml:space="preserve">бюджетных инвестиций являются </w:t>
      </w:r>
      <w:r w:rsidRPr="00CB77DB">
        <w:rPr>
          <w:rFonts w:ascii="Times New Roman" w:eastAsia="Times New Roman" w:hAnsi="Times New Roman"/>
          <w:color w:val="000000"/>
          <w:sz w:val="24"/>
        </w:rPr>
        <w:t>(на 01.07.2022 г. – 14,67 млн. руб., на 01.07.2021 г. –22,67 млн. руб., темп роста – 64,7 %)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 w:rsidRPr="00CB77DB">
        <w:rPr>
          <w:rFonts w:ascii="Times New Roman" w:eastAsia="Times New Roman" w:hAnsi="Times New Roman"/>
          <w:color w:val="000000"/>
          <w:sz w:val="24"/>
          <w:u w:val="single"/>
        </w:rPr>
        <w:t>образование: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строительство детского сада в с. Чемал на 125 мест.</w:t>
      </w:r>
    </w:p>
    <w:p w:rsidR="00763603" w:rsidRPr="00CB77DB" w:rsidRDefault="007636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</w:rPr>
      </w:pPr>
    </w:p>
    <w:p w:rsidR="00763603" w:rsidRPr="00CB77DB" w:rsidRDefault="002A6B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</w:rPr>
      </w:pPr>
      <w:r w:rsidRPr="00CB77DB">
        <w:rPr>
          <w:rFonts w:ascii="Times New Roman" w:eastAsia="Times New Roman" w:hAnsi="Times New Roman"/>
          <w:sz w:val="24"/>
          <w:szCs w:val="24"/>
        </w:rPr>
        <w:t xml:space="preserve">Причинами </w:t>
      </w:r>
      <w:r w:rsidRPr="00CB77DB">
        <w:rPr>
          <w:rFonts w:ascii="Times New Roman" w:eastAsia="Times New Roman" w:hAnsi="Times New Roman"/>
          <w:i/>
          <w:sz w:val="24"/>
          <w:szCs w:val="24"/>
        </w:rPr>
        <w:t xml:space="preserve">снижения </w:t>
      </w:r>
      <w:r w:rsidRPr="00CB77DB">
        <w:rPr>
          <w:rFonts w:ascii="Times New Roman" w:eastAsia="Times New Roman" w:hAnsi="Times New Roman"/>
          <w:sz w:val="24"/>
          <w:szCs w:val="24"/>
        </w:rPr>
        <w:t xml:space="preserve">внебюджетных инвестиций являются (на 01.07.2022 г. - </w:t>
      </w:r>
      <w:r w:rsidRPr="00CB77DB">
        <w:rPr>
          <w:rFonts w:ascii="Times New Roman" w:eastAsia="Times New Roman" w:hAnsi="Times New Roman"/>
          <w:color w:val="000000"/>
          <w:sz w:val="24"/>
        </w:rPr>
        <w:t>5,25 млн.руб., на 01.07.2021 г. – 36,20 млн. руб., темп роста - 14,5%)</w:t>
      </w:r>
      <w:r w:rsidRPr="00CB77DB">
        <w:rPr>
          <w:rFonts w:ascii="Times New Roman" w:eastAsia="Times New Roman" w:hAnsi="Times New Roman"/>
        </w:rPr>
        <w:t xml:space="preserve"> </w:t>
      </w:r>
      <w:r w:rsidRPr="00CB77DB">
        <w:rPr>
          <w:rFonts w:ascii="Times New Roman" w:eastAsia="Times New Roman" w:hAnsi="Times New Roman"/>
          <w:sz w:val="24"/>
        </w:rPr>
        <w:t>по разделам: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обеспечение электрической энергией, газом и паром; кондиционирование воздухом: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технологические присоединения и строительство линии электропередач (МРСК Сибири) на 01.07.2022 г. - 3,6 млн.руб., на 01.07.2021 г.- 5,19 млн.руб.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after="0"/>
        <w:ind w:left="709"/>
        <w:jc w:val="both"/>
        <w:rPr>
          <w:rFonts w:ascii="Times New Roman" w:eastAsia="Times New Roman" w:hAnsi="Times New Roman"/>
          <w:i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На 01.07.2022 г. реализовывались следующие крупные инвестиционные проекты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lastRenderedPageBreak/>
        <w:t>частные: технологические присоединения и строительство линии электропередач (МРСК Сибири) - 3,6 млн.руб.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Реализуются следующие инвестиционные проекты, ставшие победителями и дипломантами в Ярмарке инвестиционных проектов Республики Алтай в 2016-2019 гг.: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Строительство убойного пункта ИП Глава КФХ Денисова Марина Витальевна -2016 г. 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На Инвестиционном портале Республики Алтай для поиска инвесторов размещены следующие инвестиционные проекты и площадки: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Перечень инвестиционных проектов МО «Чемальский район»: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частные: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1) Развлекательный комплекс «Рублевка», с. Анос;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2) Организация производства товарного бетона марок М-100 – М-300 для строительного рынка Чемальского района, с. Элекмонар.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Перечень инвестиционных площадок МО «Чемальский район»: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частные: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1) земельный участок, находящийся в Чемальском районе, урочище Ниж. Кушкула, расположенного в границах участка, 5,3 га. Земли сельскохозяйственного назначения;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2) земельный участок, находящийся в Чемальском районе, урочище Ниж. Кушкула, расположенного в границах участка, 6,9 га. Земли сельскохозяйственного назначения;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3) земельный участок, находящийся к югу от поселка Толгоек Чемальского района, 37,0 га. Земли сельскохозяйственного назначения;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4) земельный участок, находящийся к югу от поселка Толгоек Чемальского района, урочище Кудюр-Сош, 137,3 га. Земли сельскохозяйственного назначения;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5) земельный участок, находящийся в Чемальском районе, урочище Эльбех-Пель, расположенного в границах участка, 3,4 га. Земли сельскохозяйственного назначения;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6) земельный участок, находящийся в Чемальском районе, в районе лога Айры-Дьарык расположенного в границах участок, 1,7 га Земли сельскохозяйственного назначения.</w:t>
      </w:r>
    </w:p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B77D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B77DB">
        <w:rPr>
          <w:rFonts w:ascii="Times New Roman" w:hAnsi="Times New Roman"/>
          <w:b/>
          <w:bCs/>
          <w:sz w:val="24"/>
          <w:szCs w:val="24"/>
        </w:rPr>
        <w:t>. Уровень и качество жизни</w:t>
      </w:r>
    </w:p>
    <w:p w:rsidR="00763603" w:rsidRPr="00CB77DB" w:rsidRDefault="002A6B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77DB">
        <w:rPr>
          <w:rFonts w:ascii="Times New Roman" w:hAnsi="Times New Roman"/>
          <w:b/>
          <w:sz w:val="24"/>
          <w:szCs w:val="24"/>
        </w:rPr>
        <w:t>Безработица и неформальная занятость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</w:pPr>
      <w:r w:rsidRPr="00CB77DB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регистрируемой безработицы по данным КУ РА «Центр занятости населения Чемальского района», на 01.07.2022 г. </w:t>
      </w:r>
      <w:r w:rsidRPr="00CB77DB">
        <w:rPr>
          <w:rFonts w:ascii="Times New Roman" w:eastAsia="Times New Roman" w:hAnsi="Times New Roman"/>
          <w:i/>
          <w:sz w:val="24"/>
          <w:szCs w:val="24"/>
          <w:lang w:eastAsia="ru-RU"/>
        </w:rPr>
        <w:t>уменьшился</w:t>
      </w:r>
      <w:r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 на 0,17 процентных пункта и составил 3,38 % (на 01.01.2021 г. - 3,55 %). 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</w:pPr>
      <w:r w:rsidRPr="00CB77DB">
        <w:rPr>
          <w:rFonts w:ascii="Times New Roman" w:eastAsia="Times New Roman" w:hAnsi="Times New Roman"/>
          <w:i/>
          <w:sz w:val="24"/>
          <w:szCs w:val="24"/>
          <w:lang w:eastAsia="ru-RU"/>
        </w:rPr>
        <w:t>Снижение</w:t>
      </w:r>
      <w:r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безработицы обусловлено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снижением на 9,7 % численности граждан, обратившихся в поисках работы.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</w:pPr>
      <w:r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01.07.2022 г. в КУ РА «Центр занятости населения Чемальского района» в целях поиска работы обратилось 241 чел., из них 56 чел. трудоустроено. 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сравнении с плановым показателем на 01.07.2022 г. отклонение уровня регистрируемой безработицы составило (-) 0,02 процентных пункта.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Причина отклонения от планового значения связана с увеличением МРОТ.</w:t>
      </w:r>
    </w:p>
    <w:p w:rsidR="00763603" w:rsidRPr="00CB77DB" w:rsidRDefault="007636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sz w:val="24"/>
          <w:szCs w:val="24"/>
        </w:rPr>
        <w:t>3.2. Жилищное строительство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На 01.07.2022 г. введено общей площади жилых помещений 14097 кв. м (165 зданий), в том числе индивидуальное жилищное строительство 14097 кв. м (165 зданий). Юридическими лицами введено 0 кв. м. Плановый показатель ввода жилья по МО «Чемальский район» на 2022 г. составляет 13054 кв. м, таким образом, процент выполнения плана, утвержденного Министерством регионального развития РА на 2022 год, составляет 108 %. 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В сравнении с аналогичным периодом прошлого года наблюдается </w:t>
      </w:r>
      <w:r w:rsidRPr="00CB77DB">
        <w:rPr>
          <w:rFonts w:ascii="Times New Roman" w:hAnsi="Times New Roman"/>
          <w:i/>
          <w:sz w:val="24"/>
          <w:szCs w:val="24"/>
        </w:rPr>
        <w:t>рост</w:t>
      </w:r>
      <w:r w:rsidRPr="00CB77DB">
        <w:rPr>
          <w:rFonts w:ascii="Times New Roman" w:hAnsi="Times New Roman"/>
          <w:sz w:val="24"/>
          <w:szCs w:val="24"/>
        </w:rPr>
        <w:t xml:space="preserve"> объема ввода жилых помещений, в т.ч.:</w:t>
      </w:r>
    </w:p>
    <w:p w:rsidR="00763603" w:rsidRPr="00CB77DB" w:rsidRDefault="007636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612"/>
        <w:gridCol w:w="1985"/>
        <w:gridCol w:w="1984"/>
        <w:gridCol w:w="1568"/>
        <w:gridCol w:w="1440"/>
      </w:tblGrid>
      <w:tr w:rsidR="00763603" w:rsidRPr="00CB77DB">
        <w:trPr>
          <w:trHeight w:val="641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</w:pPr>
            <w:r w:rsidRPr="00CB77DB">
              <w:rPr>
                <w:rFonts w:ascii="Times New Roman" w:hAnsi="Times New Roman"/>
                <w:sz w:val="24"/>
                <w:szCs w:val="24"/>
              </w:rPr>
              <w:t>на 01.07.2021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</w:pPr>
            <w:r w:rsidRPr="00CB77DB">
              <w:rPr>
                <w:rFonts w:ascii="Times New Roman" w:hAnsi="Times New Roman"/>
                <w:sz w:val="24"/>
                <w:szCs w:val="24"/>
              </w:rPr>
              <w:t>на 01.07.2022 г.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Отклонение, кв. м / 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Темп роста,  %</w:t>
            </w:r>
          </w:p>
        </w:tc>
      </w:tr>
      <w:tr w:rsidR="00763603" w:rsidRPr="00CB77D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Введено всего: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9489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14097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4608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148,6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134,1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603" w:rsidRPr="00CB77D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B77DB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CB77DB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строительство: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9489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14097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4608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7636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148,6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134,1</w:t>
            </w:r>
          </w:p>
        </w:tc>
      </w:tr>
      <w:tr w:rsidR="00763603" w:rsidRPr="00CB77D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CB77DB">
              <w:rPr>
                <w:rFonts w:ascii="Times New Roman" w:hAnsi="Times New Roman"/>
                <w:sz w:val="24"/>
                <w:szCs w:val="24"/>
              </w:rPr>
              <w:t>введено юридическими лицами: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763603" w:rsidRPr="00CB77DB" w:rsidRDefault="002A6BF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763603" w:rsidRPr="00CB77DB" w:rsidRDefault="002A6B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 w:rsidRPr="00CB77DB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</w:tr>
    </w:tbl>
    <w:p w:rsidR="00763603" w:rsidRPr="00CB77DB" w:rsidRDefault="00763603">
      <w:pPr>
        <w:widowControl w:val="0"/>
        <w:spacing w:after="0" w:line="240" w:lineRule="auto"/>
        <w:ind w:firstLine="709"/>
        <w:jc w:val="both"/>
      </w:pPr>
    </w:p>
    <w:p w:rsidR="00763603" w:rsidRPr="00CB77DB" w:rsidRDefault="002A6B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 xml:space="preserve">В расчете на </w:t>
      </w:r>
      <w:r w:rsidR="00D52DD5" w:rsidRPr="00CB77DB">
        <w:rPr>
          <w:rFonts w:ascii="Times New Roman" w:hAnsi="Times New Roman"/>
          <w:sz w:val="24"/>
          <w:szCs w:val="24"/>
        </w:rPr>
        <w:t>1 тыс. человек</w:t>
      </w:r>
      <w:r w:rsidRPr="00CB77DB">
        <w:rPr>
          <w:rFonts w:ascii="Times New Roman" w:hAnsi="Times New Roman"/>
          <w:sz w:val="24"/>
          <w:szCs w:val="24"/>
        </w:rPr>
        <w:t xml:space="preserve"> населения  показатель составил</w:t>
      </w:r>
      <w:r w:rsidR="00F56C8A" w:rsidRPr="00CB77DB">
        <w:rPr>
          <w:rFonts w:ascii="Times New Roman" w:hAnsi="Times New Roman"/>
          <w:sz w:val="24"/>
          <w:szCs w:val="24"/>
        </w:rPr>
        <w:t xml:space="preserve"> </w:t>
      </w:r>
      <w:r w:rsidR="00D52DD5" w:rsidRPr="00CB77DB">
        <w:rPr>
          <w:rFonts w:ascii="Times New Roman" w:hAnsi="Times New Roman"/>
          <w:sz w:val="24"/>
          <w:szCs w:val="24"/>
        </w:rPr>
        <w:t>1254,74</w:t>
      </w:r>
      <w:r w:rsidR="00F56C8A" w:rsidRPr="00CB77DB">
        <w:rPr>
          <w:rFonts w:ascii="Times New Roman" w:hAnsi="Times New Roman"/>
          <w:sz w:val="24"/>
          <w:szCs w:val="24"/>
        </w:rPr>
        <w:t xml:space="preserve"> кв.м</w:t>
      </w:r>
      <w:r w:rsidRPr="00CB77DB">
        <w:rPr>
          <w:rFonts w:ascii="Times New Roman" w:hAnsi="Times New Roman"/>
          <w:sz w:val="24"/>
          <w:szCs w:val="24"/>
        </w:rPr>
        <w:t>, что выше аналогичного периода прошлого года</w:t>
      </w:r>
      <w:r w:rsidR="00F56C8A" w:rsidRPr="00CB77DB">
        <w:rPr>
          <w:rFonts w:ascii="Times New Roman" w:hAnsi="Times New Roman"/>
          <w:sz w:val="24"/>
          <w:szCs w:val="24"/>
        </w:rPr>
        <w:t xml:space="preserve"> на </w:t>
      </w:r>
      <w:r w:rsidR="00D52DD5" w:rsidRPr="00CB77DB">
        <w:rPr>
          <w:rFonts w:ascii="Times New Roman" w:hAnsi="Times New Roman"/>
          <w:sz w:val="24"/>
          <w:szCs w:val="24"/>
        </w:rPr>
        <w:t>390,93</w:t>
      </w:r>
      <w:r w:rsidR="00F56C8A" w:rsidRPr="00CB77DB">
        <w:rPr>
          <w:rFonts w:ascii="Times New Roman" w:hAnsi="Times New Roman"/>
          <w:sz w:val="24"/>
          <w:szCs w:val="24"/>
        </w:rPr>
        <w:t xml:space="preserve"> кв.м или на </w:t>
      </w:r>
      <w:r w:rsidR="00D52DD5" w:rsidRPr="00CB77DB">
        <w:rPr>
          <w:rFonts w:ascii="Times New Roman" w:hAnsi="Times New Roman"/>
          <w:sz w:val="24"/>
          <w:szCs w:val="24"/>
        </w:rPr>
        <w:t>45,3</w:t>
      </w:r>
      <w:r w:rsidR="00F56C8A" w:rsidRPr="00CB77DB">
        <w:rPr>
          <w:rFonts w:ascii="Times New Roman" w:hAnsi="Times New Roman"/>
          <w:sz w:val="24"/>
          <w:szCs w:val="24"/>
        </w:rPr>
        <w:t xml:space="preserve"> % (на 01.07.2021 г. – </w:t>
      </w:r>
      <w:r w:rsidR="00D52DD5" w:rsidRPr="00CB77DB">
        <w:rPr>
          <w:rFonts w:ascii="Times New Roman" w:hAnsi="Times New Roman"/>
          <w:sz w:val="24"/>
          <w:szCs w:val="24"/>
        </w:rPr>
        <w:t>863,81</w:t>
      </w:r>
      <w:r w:rsidR="00F56C8A" w:rsidRPr="00CB77DB">
        <w:rPr>
          <w:rFonts w:ascii="Times New Roman" w:hAnsi="Times New Roman"/>
          <w:sz w:val="24"/>
          <w:szCs w:val="24"/>
        </w:rPr>
        <w:t xml:space="preserve"> кв.м).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В сравнении с плановы</w:t>
      </w:r>
      <w:r w:rsidR="002405BA" w:rsidRPr="00CB77DB">
        <w:rPr>
          <w:rFonts w:ascii="Times New Roman" w:hAnsi="Times New Roman"/>
          <w:sz w:val="24"/>
          <w:szCs w:val="24"/>
        </w:rPr>
        <w:t>ми значениями на 01.07.2022 г. о</w:t>
      </w:r>
      <w:r w:rsidRPr="00CB77DB">
        <w:rPr>
          <w:rFonts w:ascii="Times New Roman" w:hAnsi="Times New Roman"/>
          <w:sz w:val="24"/>
          <w:szCs w:val="24"/>
        </w:rPr>
        <w:t>тклонение составило</w:t>
      </w:r>
      <w:r w:rsidR="00D52DD5" w:rsidRPr="00CB77DB">
        <w:rPr>
          <w:rFonts w:ascii="Times New Roman" w:hAnsi="Times New Roman"/>
          <w:sz w:val="24"/>
          <w:szCs w:val="24"/>
        </w:rPr>
        <w:t xml:space="preserve"> (+) 673,79 кв.м.</w:t>
      </w:r>
      <w:r w:rsidR="002405BA" w:rsidRPr="00CB77DB">
        <w:rPr>
          <w:rFonts w:ascii="Times New Roman" w:hAnsi="Times New Roman"/>
          <w:sz w:val="24"/>
          <w:szCs w:val="24"/>
        </w:rPr>
        <w:t xml:space="preserve"> 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hAnsi="Times New Roman"/>
          <w:sz w:val="24"/>
          <w:szCs w:val="24"/>
        </w:rPr>
        <w:t xml:space="preserve">Причинами </w:t>
      </w:r>
      <w:r w:rsidRPr="00CB77DB">
        <w:rPr>
          <w:rFonts w:ascii="Times New Roman" w:hAnsi="Times New Roman"/>
          <w:i/>
          <w:sz w:val="24"/>
          <w:szCs w:val="24"/>
        </w:rPr>
        <w:t>увеличения</w:t>
      </w:r>
      <w:r w:rsidRPr="00CB77DB">
        <w:rPr>
          <w:rFonts w:ascii="Times New Roman" w:hAnsi="Times New Roman"/>
          <w:sz w:val="24"/>
          <w:szCs w:val="24"/>
        </w:rPr>
        <w:t xml:space="preserve"> </w:t>
      </w:r>
      <w:r w:rsidRPr="00CB77DB">
        <w:rPr>
          <w:rFonts w:ascii="Times New Roman" w:eastAsia="Times New Roman" w:hAnsi="Times New Roman"/>
          <w:color w:val="000000"/>
          <w:sz w:val="24"/>
        </w:rPr>
        <w:t>объемов ввода является увеличение количества вводимых зданий ИЖС.</w:t>
      </w:r>
    </w:p>
    <w:p w:rsidR="00763603" w:rsidRPr="00CB77DB" w:rsidRDefault="002A6BFB">
      <w:pPr>
        <w:widowControl w:val="0"/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На 01.07.2022 г. по причине аварийности снесено 0 кв. м. жилых помещений.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Жилой фонд МО «Чемальский район» на отчетный период представлен многоквартирными домами в количестве 444 ед. (из них многоквартирные дома блокированной застройки - 430 ед.), жилой площадью 55 тыс. кв. м и индивидуальными домами в количестве 3852 ед. жилой площадью 284,8 тыс. кв.м.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В целях увеличения объема ввода жилых помещений и достижения плановых значений целевого показателя в 2022 г. проведены и планируются к реализации следующие мероприятия: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проведение инвентаризации жилых помещений (жилых домов) с целью выявления, не стоящих на кадастровом учете;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принятия мер понуждения по регистрации завершенных строительством жилых домов, ранее не зарегистрированных по результатам инвентаризации.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на территории Чемальского района с 01.07.2020 г. действует индивидуальная программа социально-экономического развития Республики Алтай на 2020-2024 г., утвержденная распоряжением Правительства Российской Федерации от 9 апреля 2020 г. № 937-р, Министерством регионального развития Республики Алтай разработан порядок, в рамках которого предоставляется субсидия на выполнение кадастровых работ по постановке на кадастровый учет индивидуальных жилых домов. Собственник индивидуального жилого дома оплачивает 40% от стоимости кадастровых работ, а оставшиеся 60 %, но не более 6 тыс. руб. будут предоставлены  Министерством регионального развития Республики Алтай в виде субсидии на возмещение недополученных доходов, связанных с выполнением работ по постановке на кадастровый </w:t>
      </w:r>
      <w:r w:rsidRPr="00CB77DB">
        <w:rPr>
          <w:rFonts w:ascii="Times New Roman" w:eastAsia="Times New Roman" w:hAnsi="Times New Roman"/>
          <w:color w:val="000000"/>
          <w:sz w:val="24"/>
        </w:rPr>
        <w:lastRenderedPageBreak/>
        <w:t>учет индивидуальных жилых домов подрядной организацией (юридическое лицо, индивидуальный предприниматель осуществляющих деятельность в сфере выполнения кадастровых работ и зарегистрированных на территории Чемальского района, прошедшие конкурсный отбор и одобренных министерством, а именно: ИП Тоорчуков А.А., ООО «СТиК» и ООО «Эдгор»);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проведение мониторинга земельных участков, предоставленных для жилищного строительства на праве аренды, не используемых по назначению;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меры по изъятию земельных участков,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аренды. Размещение на официальном сайте сведений о земельных участках, предназначенных для предоставления в аренду для индивидуального жилищного строительства;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проведение межевания земельных участков в целях предоставления или продажи их гражданам. Разработка и утверждение ПСД на объекты инженерной инфраструктуры к создаваемым земельным участкам (дороги, водопроводные сети, объекты электроснабжения). Предоставление земельных участков под жилищное строительство, изъятых у предыдущих арендаторов.</w:t>
      </w:r>
    </w:p>
    <w:p w:rsidR="00763603" w:rsidRPr="00CB77DB" w:rsidRDefault="00763603">
      <w:pPr>
        <w:spacing w:after="0" w:line="240" w:lineRule="auto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CB77DB">
        <w:rPr>
          <w:rFonts w:ascii="Times New Roman" w:hAnsi="Times New Roman"/>
          <w:b/>
          <w:bCs/>
          <w:spacing w:val="2"/>
          <w:sz w:val="24"/>
          <w:szCs w:val="24"/>
        </w:rPr>
        <w:t>3.3. Демографические показатели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Cs w:val="24"/>
        </w:rPr>
      </w:pPr>
      <w:r w:rsidRPr="00CB77DB">
        <w:rPr>
          <w:rFonts w:ascii="Times New Roman" w:hAnsi="Times New Roman"/>
          <w:sz w:val="24"/>
          <w:szCs w:val="24"/>
        </w:rPr>
        <w:t xml:space="preserve">Показатель естественного прироста в расчете на 1000 населения на 01.07.2022 г. составил -2,5 чел. (на 01.07.2021 г. - (-)2). Снижение показателя естественного прироста сформировался за счет </w:t>
      </w:r>
      <w:r w:rsidRPr="00CB77DB">
        <w:rPr>
          <w:rFonts w:ascii="Times New Roman" w:eastAsia="Times New Roman" w:hAnsi="Times New Roman"/>
          <w:color w:val="000000"/>
          <w:sz w:val="24"/>
        </w:rPr>
        <w:t>снижения рождаемости.</w:t>
      </w:r>
    </w:p>
    <w:p w:rsidR="00763603" w:rsidRPr="00CB77DB" w:rsidRDefault="002A6BF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CB77DB">
        <w:rPr>
          <w:rFonts w:ascii="Times New Roman" w:hAnsi="Times New Roman"/>
          <w:bCs/>
          <w:spacing w:val="2"/>
          <w:sz w:val="24"/>
          <w:szCs w:val="24"/>
        </w:rPr>
        <w:t xml:space="preserve">На 01.07.2022 г. оценка численности постоянного населения в МО «Чемальский район» составила 11235 чел., что на 250 чел. или на 2,3 % </w:t>
      </w:r>
      <w:r w:rsidRPr="00CB77DB">
        <w:rPr>
          <w:rFonts w:ascii="Times New Roman" w:hAnsi="Times New Roman"/>
          <w:bCs/>
          <w:i/>
          <w:spacing w:val="2"/>
          <w:sz w:val="24"/>
          <w:szCs w:val="24"/>
        </w:rPr>
        <w:t>больше,</w:t>
      </w:r>
      <w:r w:rsidRPr="00CB77DB">
        <w:rPr>
          <w:rFonts w:ascii="Times New Roman" w:hAnsi="Times New Roman"/>
          <w:bCs/>
          <w:spacing w:val="2"/>
          <w:sz w:val="24"/>
          <w:szCs w:val="24"/>
        </w:rPr>
        <w:t xml:space="preserve"> чем на 01.07.2021 г.</w:t>
      </w:r>
    </w:p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tbl>
      <w:tblPr>
        <w:tblW w:w="92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16"/>
        <w:gridCol w:w="929"/>
        <w:gridCol w:w="1765"/>
        <w:gridCol w:w="1701"/>
        <w:gridCol w:w="1251"/>
      </w:tblGrid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763603" w:rsidRPr="00CB77DB" w:rsidRDefault="002A6BFB">
            <w:pPr>
              <w:spacing w:after="0" w:line="240" w:lineRule="auto"/>
              <w:jc w:val="center"/>
            </w:pPr>
            <w:r w:rsidRPr="00CB77DB">
              <w:rPr>
                <w:rFonts w:ascii="Times New Roman" w:hAnsi="Times New Roman"/>
                <w:sz w:val="24"/>
                <w:szCs w:val="24"/>
              </w:rPr>
              <w:t>01.07.2021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763603" w:rsidRPr="00CB77DB" w:rsidRDefault="002A6BFB">
            <w:pPr>
              <w:spacing w:after="0" w:line="240" w:lineRule="auto"/>
              <w:jc w:val="center"/>
            </w:pPr>
            <w:r w:rsidRPr="00CB77DB">
              <w:rPr>
                <w:rFonts w:ascii="Times New Roman" w:hAnsi="Times New Roman"/>
                <w:sz w:val="24"/>
                <w:szCs w:val="24"/>
              </w:rPr>
              <w:t>01.07.2022 г.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10985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11235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Родившиеся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Умершие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</w:pPr>
            <w:r w:rsidRPr="00CB77D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CB77DB">
              <w:rPr>
                <w:rFonts w:ascii="Times New Roman" w:hAnsi="Times New Roman"/>
                <w:sz w:val="24"/>
                <w:szCs w:val="24"/>
              </w:rPr>
              <w:t>в т.ч. смертность населения от внешних причин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763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763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763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Естественный прирост населения (на 1000 чел. населения)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-2,5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</w:tr>
      <w:tr w:rsidR="00763603" w:rsidRPr="00CB77DB">
        <w:trPr>
          <w:trHeight w:val="33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Миграционный прирост/убыль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87,1</w:t>
            </w:r>
          </w:p>
          <w:p w:rsidR="00763603" w:rsidRPr="00CB77DB" w:rsidRDefault="00763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603" w:rsidRPr="00CB77DB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Число браков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</w:tr>
      <w:tr w:rsidR="00763603" w:rsidRPr="00CB77DB">
        <w:trPr>
          <w:trHeight w:val="7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Число разводов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03" w:rsidRPr="00CB77DB" w:rsidRDefault="002A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DB">
              <w:rPr>
                <w:rFonts w:ascii="Times New Roman" w:hAnsi="Times New Roman"/>
                <w:sz w:val="24"/>
                <w:szCs w:val="24"/>
              </w:rPr>
              <w:t>111,8</w:t>
            </w:r>
          </w:p>
        </w:tc>
      </w:tr>
    </w:tbl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На 01.07.2022 г. родилось 50 детей, что на 5 детей </w:t>
      </w:r>
      <w:r w:rsidRPr="00CB77DB">
        <w:rPr>
          <w:rFonts w:ascii="Times New Roman" w:hAnsi="Times New Roman"/>
          <w:i/>
          <w:sz w:val="24"/>
          <w:szCs w:val="24"/>
        </w:rPr>
        <w:t>меньше</w:t>
      </w:r>
      <w:r w:rsidRPr="00CB77DB">
        <w:rPr>
          <w:rFonts w:ascii="Times New Roman" w:hAnsi="Times New Roman"/>
          <w:sz w:val="24"/>
          <w:szCs w:val="24"/>
        </w:rPr>
        <w:t xml:space="preserve">, чем на 01.07.2021 г. (55 детей). </w:t>
      </w:r>
      <w:r w:rsidRPr="00CB77DB">
        <w:rPr>
          <w:rFonts w:ascii="Times New Roman" w:hAnsi="Times New Roman"/>
          <w:i/>
          <w:sz w:val="24"/>
          <w:szCs w:val="24"/>
        </w:rPr>
        <w:t>Снижение</w:t>
      </w:r>
      <w:r w:rsidRPr="00CB77DB">
        <w:rPr>
          <w:rFonts w:ascii="Times New Roman" w:hAnsi="Times New Roman"/>
          <w:sz w:val="24"/>
          <w:szCs w:val="24"/>
        </w:rPr>
        <w:t xml:space="preserve"> обусловлено </w:t>
      </w:r>
      <w:r w:rsidRPr="00CB77DB">
        <w:rPr>
          <w:rFonts w:ascii="Times New Roman" w:eastAsia="Times New Roman" w:hAnsi="Times New Roman"/>
          <w:color w:val="000000"/>
          <w:sz w:val="24"/>
        </w:rPr>
        <w:t>сокращением числа женщин детородного возраста.</w:t>
      </w:r>
    </w:p>
    <w:p w:rsidR="00763603" w:rsidRPr="00CB77DB" w:rsidRDefault="002A6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 xml:space="preserve">Смертность населения на 01.07.2022 г. по отношению к уровню аналогичного периода прошлого года </w:t>
      </w:r>
      <w:r w:rsidRPr="00CB77DB">
        <w:rPr>
          <w:rFonts w:ascii="Times New Roman" w:hAnsi="Times New Roman"/>
          <w:i/>
          <w:sz w:val="24"/>
          <w:szCs w:val="24"/>
        </w:rPr>
        <w:t>снизилась</w:t>
      </w:r>
      <w:r w:rsidRPr="00CB77DB">
        <w:rPr>
          <w:rFonts w:ascii="Times New Roman" w:hAnsi="Times New Roman"/>
          <w:sz w:val="24"/>
          <w:szCs w:val="24"/>
        </w:rPr>
        <w:t xml:space="preserve"> на 2 чел. или на (-) 3,0 %, но не смотря на снижение смертности, эпидемиологическая обстановка в Республике Алтай  по заболеваемости  COVID-19  в 2022 г. продолжает оставаться напряженной.</w:t>
      </w:r>
    </w:p>
    <w:p w:rsidR="00763603" w:rsidRPr="00CB77DB" w:rsidRDefault="002A6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Основной причиной смертности по основным классам причин смертности являются:</w:t>
      </w:r>
    </w:p>
    <w:p w:rsidR="00763603" w:rsidRPr="00CB77DB" w:rsidRDefault="002A6BFB" w:rsidP="00FF34AB">
      <w:pPr>
        <w:pStyle w:val="a3"/>
        <w:numPr>
          <w:ilvl w:val="0"/>
          <w:numId w:val="8"/>
        </w:numPr>
        <w:ind w:left="851" w:hanging="284"/>
        <w:jc w:val="both"/>
      </w:pPr>
      <w:r w:rsidRPr="00CB77DB">
        <w:rPr>
          <w:color w:val="000000"/>
        </w:rPr>
        <w:lastRenderedPageBreak/>
        <w:t>болезни системы кровообращения -</w:t>
      </w:r>
      <w:r w:rsidRPr="00CB77DB">
        <w:rPr>
          <w:rFonts w:ascii="Liberation Sans" w:eastAsia="Liberation Sans" w:hAnsi="Liberation Sans" w:cs="Liberation Sans"/>
          <w:color w:val="000000"/>
          <w:sz w:val="23"/>
        </w:rPr>
        <w:t xml:space="preserve"> </w:t>
      </w:r>
      <w:r w:rsidRPr="00CB77DB">
        <w:rPr>
          <w:color w:val="000000"/>
        </w:rPr>
        <w:t>29 чел. (45,3 % от всех случаев смерти);</w:t>
      </w:r>
    </w:p>
    <w:p w:rsidR="00763603" w:rsidRPr="00CB77DB" w:rsidRDefault="002A6BFB" w:rsidP="00FF34AB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253" w:lineRule="atLeast"/>
        <w:ind w:left="851" w:hanging="284"/>
        <w:jc w:val="both"/>
      </w:pPr>
      <w:r w:rsidRPr="00FF34AB">
        <w:rPr>
          <w:color w:val="000000"/>
        </w:rPr>
        <w:t>новообразования - 12 чел. (18,8% т всех случаев смерти);</w:t>
      </w:r>
    </w:p>
    <w:p w:rsidR="00763603" w:rsidRPr="00FF34AB" w:rsidRDefault="002A6BFB" w:rsidP="00FF34AB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253" w:lineRule="atLeast"/>
        <w:ind w:left="851" w:hanging="284"/>
        <w:jc w:val="both"/>
        <w:rPr>
          <w:color w:val="000000"/>
        </w:rPr>
      </w:pPr>
      <w:r w:rsidRPr="00FF34AB">
        <w:rPr>
          <w:color w:val="000000"/>
        </w:rPr>
        <w:t>болезни нервной системы</w:t>
      </w:r>
      <w:r w:rsidRPr="00FF34AB">
        <w:rPr>
          <w:rFonts w:ascii="Liberation Sans" w:eastAsia="Liberation Sans" w:hAnsi="Liberation Sans" w:cs="Liberation Sans"/>
          <w:color w:val="000000"/>
          <w:sz w:val="23"/>
        </w:rPr>
        <w:t xml:space="preserve"> </w:t>
      </w:r>
      <w:r w:rsidRPr="00FF34AB">
        <w:rPr>
          <w:color w:val="000000"/>
        </w:rPr>
        <w:t> - 4 чел. (6,3 % от всех случаев смерти);</w:t>
      </w:r>
    </w:p>
    <w:p w:rsidR="00763603" w:rsidRPr="00CB77DB" w:rsidRDefault="002A6BFB" w:rsidP="00FF34AB">
      <w:pPr>
        <w:pStyle w:val="a3"/>
        <w:numPr>
          <w:ilvl w:val="0"/>
          <w:numId w:val="10"/>
        </w:num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</w:pBdr>
        <w:tabs>
          <w:tab w:val="left" w:pos="992"/>
        </w:tabs>
        <w:spacing w:line="253" w:lineRule="atLeast"/>
        <w:ind w:left="851" w:hanging="284"/>
        <w:jc w:val="both"/>
      </w:pPr>
      <w:r w:rsidRPr="00FF34AB">
        <w:rPr>
          <w:color w:val="000000"/>
        </w:rPr>
        <w:t>COVID-19 - 3 чел. (4,7 % от всех случаев смерти) и др.</w:t>
      </w:r>
    </w:p>
    <w:p w:rsidR="00763603" w:rsidRPr="00CB77DB" w:rsidRDefault="002A6BFB" w:rsidP="00FF34AB">
      <w:pPr>
        <w:spacing w:after="0" w:line="240" w:lineRule="auto"/>
        <w:ind w:firstLine="567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Одним из факторов </w:t>
      </w:r>
      <w:r w:rsidRPr="00CB77DB">
        <w:rPr>
          <w:rFonts w:ascii="Times New Roman" w:hAnsi="Times New Roman"/>
          <w:i/>
          <w:sz w:val="24"/>
          <w:szCs w:val="24"/>
        </w:rPr>
        <w:t xml:space="preserve">роста </w:t>
      </w:r>
      <w:r w:rsidRPr="00CB77DB">
        <w:rPr>
          <w:rFonts w:ascii="Times New Roman" w:hAnsi="Times New Roman"/>
          <w:sz w:val="24"/>
          <w:szCs w:val="24"/>
        </w:rPr>
        <w:t xml:space="preserve">численности населения является миграционный прирост. Число прибывших на 01.07.2022 г. составило 364 чел., что на (-) 7,6 % </w:t>
      </w:r>
      <w:r w:rsidRPr="00CB77DB">
        <w:rPr>
          <w:rFonts w:ascii="Times New Roman" w:hAnsi="Times New Roman"/>
          <w:i/>
          <w:sz w:val="24"/>
          <w:szCs w:val="24"/>
        </w:rPr>
        <w:t>ниже</w:t>
      </w:r>
      <w:r w:rsidRPr="00CB77DB">
        <w:rPr>
          <w:rFonts w:ascii="Times New Roman" w:hAnsi="Times New Roman"/>
          <w:sz w:val="24"/>
          <w:szCs w:val="24"/>
        </w:rPr>
        <w:t xml:space="preserve"> аналогичного периода прошлого года. Число выбывших на 01.07.2022 г. составило 283 чел., что на (-) 6,0 %  </w:t>
      </w:r>
      <w:r w:rsidRPr="00CB77DB">
        <w:rPr>
          <w:rFonts w:ascii="Times New Roman" w:hAnsi="Times New Roman"/>
          <w:i/>
          <w:sz w:val="24"/>
          <w:szCs w:val="24"/>
        </w:rPr>
        <w:t>ниже</w:t>
      </w:r>
      <w:r w:rsidRPr="00CB77DB">
        <w:rPr>
          <w:rFonts w:ascii="Times New Roman" w:hAnsi="Times New Roman"/>
          <w:sz w:val="24"/>
          <w:szCs w:val="24"/>
        </w:rPr>
        <w:t xml:space="preserve"> аналогичного периода прошлого года. Миграционный прирост на 01.07.2022 г. составил 81 чел., что на (-) 12,9 % </w:t>
      </w:r>
      <w:r w:rsidRPr="00CB77DB">
        <w:rPr>
          <w:rFonts w:ascii="Times New Roman" w:hAnsi="Times New Roman"/>
          <w:i/>
          <w:sz w:val="24"/>
          <w:szCs w:val="24"/>
        </w:rPr>
        <w:t>ниже</w:t>
      </w:r>
      <w:r w:rsidRPr="00CB77DB">
        <w:rPr>
          <w:rFonts w:ascii="Times New Roman" w:hAnsi="Times New Roman"/>
          <w:sz w:val="24"/>
          <w:szCs w:val="24"/>
        </w:rPr>
        <w:t xml:space="preserve"> аналогичного периода прошлого года.</w:t>
      </w: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sz w:val="24"/>
          <w:szCs w:val="24"/>
        </w:rPr>
        <w:t xml:space="preserve">Число браков на 01.07.2022 г. </w:t>
      </w:r>
      <w:r w:rsidRPr="00CB77DB">
        <w:rPr>
          <w:rFonts w:ascii="Times New Roman" w:hAnsi="Times New Roman"/>
          <w:i/>
          <w:sz w:val="24"/>
          <w:szCs w:val="24"/>
        </w:rPr>
        <w:t>увеличилось</w:t>
      </w:r>
      <w:r w:rsidRPr="00CB77DB">
        <w:rPr>
          <w:rFonts w:ascii="Times New Roman" w:hAnsi="Times New Roman"/>
          <w:sz w:val="24"/>
          <w:szCs w:val="24"/>
        </w:rPr>
        <w:t xml:space="preserve"> на 10,3 %, число разводов </w:t>
      </w:r>
      <w:r w:rsidRPr="00CB77DB">
        <w:rPr>
          <w:rFonts w:ascii="Times New Roman" w:hAnsi="Times New Roman"/>
          <w:i/>
          <w:sz w:val="24"/>
          <w:szCs w:val="24"/>
        </w:rPr>
        <w:t>увеличилось</w:t>
      </w:r>
      <w:r w:rsidRPr="00CB77DB">
        <w:rPr>
          <w:rFonts w:ascii="Times New Roman" w:hAnsi="Times New Roman"/>
          <w:sz w:val="24"/>
          <w:szCs w:val="24"/>
        </w:rPr>
        <w:t xml:space="preserve"> на 11,8%. На динамику числа браков и разводов оказали влияние следующие факторы: </w:t>
      </w:r>
      <w:r w:rsidRPr="00CB77DB">
        <w:rPr>
          <w:rFonts w:ascii="Times New Roman" w:eastAsia="Times New Roman" w:hAnsi="Times New Roman"/>
          <w:color w:val="000000"/>
          <w:sz w:val="24"/>
        </w:rPr>
        <w:t>равноправие хозяйственно-бытовых обязанностей; совместное принятие решений; сходство семейных ценностей; низкая конфликтность; уважение друг к другу. </w:t>
      </w:r>
    </w:p>
    <w:p w:rsidR="00763603" w:rsidRPr="00CB77DB" w:rsidRDefault="0076360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763603" w:rsidRPr="00CB77DB" w:rsidRDefault="002A6BFB">
      <w:pPr>
        <w:spacing w:after="0" w:line="240" w:lineRule="auto"/>
        <w:ind w:firstLine="709"/>
        <w:jc w:val="both"/>
      </w:pPr>
      <w:r w:rsidRPr="00CB77DB">
        <w:rPr>
          <w:rFonts w:ascii="Times New Roman" w:hAnsi="Times New Roman"/>
          <w:b/>
          <w:bCs/>
          <w:sz w:val="24"/>
          <w:szCs w:val="24"/>
        </w:rPr>
        <w:t>3.4. Социальная сфера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B77DB">
        <w:rPr>
          <w:rFonts w:ascii="Times New Roman" w:hAnsi="Times New Roman"/>
          <w:b/>
          <w:bCs/>
          <w:i/>
          <w:sz w:val="24"/>
          <w:szCs w:val="24"/>
        </w:rPr>
        <w:t>Отношение численности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к сумме численности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и численности детей в возрастной группе от 2 месяцев до 8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</w:t>
      </w:r>
    </w:p>
    <w:p w:rsidR="00763603" w:rsidRPr="00CB77DB" w:rsidRDefault="007636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Дошкольное образование на 01.07.2022 г. включает 8  образовательных организаций, осуществляющих образовательную деятельность по программам дошкольного образования  (3 муниципальных дошкольных образовательных организации, 5 дошкольных групп при  5  общеобразовательных учреждениях). Как альтернативная мера предоставления услуг дошкольного образования за период с начала 2022 г. функционировало 6 групп кратковременного пребывания дошкольников для детей в возрасте от 5 – 7 лет.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На 01.07.2022 г. обеспечено местами в дошкольных образовательных учреждениях  547 детей. Актуальная очередность детей в возрасте от 2-х месяцев до 3-х лет на 01.07.2022 г. составляет 0 детей.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На 01.07.2022 г. доступность дошкольного образования для детей в возрасте от 2-х месяцев до 3-х лет составляет 100 % от потребности в услугах дошкольного образования.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На 01.07.2022 г. численность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  составляет 547 детей.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На 01.07.2022 г. сумма численности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и численности детей в возрастной группе от 2 месяц до 8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 составляет 547 детей.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lastRenderedPageBreak/>
        <w:t>На 01.07.2022 г. отношение численности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к сумме численности детей в возрастной группе от 2 месяцев до 8 лет, посещающих организации, осуществляющие образовательную деятельность по образовательным программам дошкольного образования, и численности детей в возрастной группе от 2 месяц до 8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 составляет 100 %, что соответствует уровню аналогичного периода прошлого года и плановому значению.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</w:pPr>
      <w:r w:rsidRPr="00CB77DB">
        <w:rPr>
          <w:rFonts w:ascii="Times New Roman" w:eastAsia="Times New Roman" w:hAnsi="Times New Roman"/>
          <w:sz w:val="24"/>
          <w:szCs w:val="24"/>
          <w:lang w:eastAsia="ar-SA"/>
        </w:rPr>
        <w:t>В целях обеспечения целевого показателя на 01.07.2022 г. проведены следующие мероприятия:</w:t>
      </w:r>
    </w:p>
    <w:p w:rsidR="00763603" w:rsidRPr="00CB77DB" w:rsidRDefault="002A6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B77DB">
        <w:rPr>
          <w:rFonts w:ascii="Times New Roman" w:eastAsia="Times New Roman" w:hAnsi="Times New Roman"/>
          <w:sz w:val="24"/>
          <w:szCs w:val="24"/>
          <w:lang w:eastAsia="ar-SA"/>
        </w:rPr>
        <w:t>1) проводится систематическая работа по зачислению детей.</w:t>
      </w:r>
    </w:p>
    <w:p w:rsidR="00763603" w:rsidRPr="00CB77DB" w:rsidRDefault="007636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</w:p>
    <w:p w:rsidR="00763603" w:rsidRPr="00CB77DB" w:rsidRDefault="002A6B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B77DB">
        <w:rPr>
          <w:rFonts w:ascii="Times New Roman" w:hAnsi="Times New Roman"/>
          <w:b/>
          <w:bCs/>
          <w:i/>
          <w:sz w:val="24"/>
          <w:szCs w:val="24"/>
        </w:rPr>
        <w:t>Отношение численности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к общей численности детей в возрасте от 5 до 18 лет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 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На 01.07.2022 г. в МО «Чемальский район» функционируют 3 учреждения дополнительного образования: МУ ДОД «Чемальская детско-юношеская спортивная школа», «МУ ДО «Чемальский дом детского творчества», МБУ ДО «Чемальская школа искусств». Количество детей в возрасте от 5 до 18 лет, получающих услуги по дополнительному образованию, составило 1445 чел.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По состоянию на 01.07.2022 г. доля детей в возрасте от 5 до 18 лет, получающих услуги по дополнительному образованию, от общего количества детей в возрасте от 5 до 18 лет (2543 чел.), составляет 56,82 %, что 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 xml:space="preserve">выше уровня </w:t>
      </w:r>
      <w:r w:rsidRPr="00CB77DB">
        <w:rPr>
          <w:rFonts w:ascii="Times New Roman" w:eastAsia="Times New Roman" w:hAnsi="Times New Roman"/>
          <w:color w:val="000000"/>
          <w:sz w:val="24"/>
        </w:rPr>
        <w:t>аналогичного периода прошлого года на 10,38 процентных пункта (на 01.07.2021 г. - 46,44 %), рост связан с увеличением численности детей в возрасте от 5 до 18 лет, а также с увеличением охвата детей, получающих услуги по дополнительному образованию.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>В сравнении с планом на 01.07.2022 г. отмечено сниж</w:t>
      </w:r>
      <w:r w:rsidRPr="00CB77DB">
        <w:rPr>
          <w:rFonts w:ascii="Times New Roman" w:eastAsia="Times New Roman" w:hAnsi="Times New Roman"/>
          <w:i/>
          <w:color w:val="000000"/>
          <w:sz w:val="24"/>
        </w:rPr>
        <w:t>ение</w:t>
      </w:r>
      <w:r w:rsidRPr="00CB77DB">
        <w:rPr>
          <w:rFonts w:ascii="Times New Roman" w:eastAsia="Times New Roman" w:hAnsi="Times New Roman"/>
          <w:color w:val="000000"/>
          <w:sz w:val="24"/>
        </w:rPr>
        <w:t xml:space="preserve"> показателя на 1,2 процентных пункта.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В целях обеспечения достижения показателя на 01.07.2022 г. проведены следующие мероприятия: </w:t>
      </w:r>
    </w:p>
    <w:p w:rsidR="00763603" w:rsidRPr="00CB77DB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CB77DB">
        <w:rPr>
          <w:rFonts w:ascii="Times New Roman" w:eastAsia="Times New Roman" w:hAnsi="Times New Roman"/>
          <w:color w:val="000000"/>
          <w:sz w:val="24"/>
        </w:rPr>
        <w:t xml:space="preserve">информационная компания среди родителей; </w:t>
      </w:r>
    </w:p>
    <w:p w:rsidR="00763603" w:rsidRDefault="002A6B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CB77DB">
        <w:rPr>
          <w:rFonts w:ascii="Times New Roman" w:eastAsia="Times New Roman" w:hAnsi="Times New Roman"/>
          <w:color w:val="000000"/>
          <w:sz w:val="24"/>
        </w:rPr>
        <w:t>открытие спортивных и творческих кружков.</w:t>
      </w:r>
    </w:p>
    <w:p w:rsidR="00763603" w:rsidRDefault="00763603">
      <w:pPr>
        <w:spacing w:after="0" w:line="240" w:lineRule="auto"/>
        <w:ind w:firstLine="709"/>
        <w:jc w:val="both"/>
      </w:pPr>
    </w:p>
    <w:p w:rsidR="00763603" w:rsidRDefault="0076360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sectPr w:rsidR="00763603" w:rsidSect="00763603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ED" w:rsidRDefault="00B065ED">
      <w:pPr>
        <w:spacing w:after="0" w:line="240" w:lineRule="auto"/>
      </w:pPr>
      <w:r>
        <w:separator/>
      </w:r>
    </w:p>
  </w:endnote>
  <w:endnote w:type="continuationSeparator" w:id="0">
    <w:p w:rsidR="00B065ED" w:rsidRDefault="00B0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or Richard">
    <w:altName w:val="Century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ED" w:rsidRDefault="00B065ED">
      <w:pPr>
        <w:spacing w:after="0" w:line="240" w:lineRule="auto"/>
      </w:pPr>
      <w:r>
        <w:separator/>
      </w:r>
    </w:p>
  </w:footnote>
  <w:footnote w:type="continuationSeparator" w:id="0">
    <w:p w:rsidR="00B065ED" w:rsidRDefault="00B06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7A15"/>
    <w:multiLevelType w:val="hybridMultilevel"/>
    <w:tmpl w:val="8FECE854"/>
    <w:lvl w:ilvl="0" w:tplc="A210D4AE">
      <w:start w:val="1"/>
      <w:numFmt w:val="bullet"/>
      <w:lvlText w:val="–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BD6C49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B2D8D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50453A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29FE74E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CC47EC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83C97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0B4B27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F9DADB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A20957"/>
    <w:multiLevelType w:val="hybridMultilevel"/>
    <w:tmpl w:val="0ECADAE4"/>
    <w:lvl w:ilvl="0" w:tplc="F94690C0">
      <w:start w:val="1"/>
      <w:numFmt w:val="bullet"/>
      <w:lvlText w:val="–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8D76864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35476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7A277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32647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4BE6E8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C228B8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3BA73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482A9A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84904F6"/>
    <w:multiLevelType w:val="hybridMultilevel"/>
    <w:tmpl w:val="10AE4366"/>
    <w:lvl w:ilvl="0" w:tplc="1966D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43CD1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D8C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18A7F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00C4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8077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B0E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2A87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F069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8121C8"/>
    <w:multiLevelType w:val="hybridMultilevel"/>
    <w:tmpl w:val="50C2B13E"/>
    <w:lvl w:ilvl="0" w:tplc="C9AA2BA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AF62AE"/>
    <w:multiLevelType w:val="hybridMultilevel"/>
    <w:tmpl w:val="F08A949A"/>
    <w:lvl w:ilvl="0" w:tplc="4226240A">
      <w:start w:val="1"/>
      <w:numFmt w:val="bullet"/>
      <w:lvlText w:val="–"/>
      <w:lvlJc w:val="left"/>
      <w:pPr>
        <w:tabs>
          <w:tab w:val="num" w:pos="0"/>
        </w:tabs>
        <w:ind w:left="1428" w:hanging="360"/>
      </w:pPr>
      <w:rPr>
        <w:rFonts w:ascii="Poor Richard" w:hAnsi="Poor Richard" w:cs="Poor Richard" w:hint="default"/>
      </w:rPr>
    </w:lvl>
    <w:lvl w:ilvl="1" w:tplc="DA06A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CCB7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A818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6E6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A23C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4204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522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A2D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A6C271F"/>
    <w:multiLevelType w:val="hybridMultilevel"/>
    <w:tmpl w:val="EE500E12"/>
    <w:lvl w:ilvl="0" w:tplc="11D44CA2">
      <w:start w:val="1"/>
      <w:numFmt w:val="bullet"/>
      <w:lvlText w:val="–"/>
      <w:lvlJc w:val="left"/>
      <w:pPr>
        <w:tabs>
          <w:tab w:val="num" w:pos="0"/>
        </w:tabs>
        <w:ind w:left="1428" w:hanging="360"/>
      </w:pPr>
      <w:rPr>
        <w:rFonts w:ascii="Poor Richard" w:hAnsi="Poor Richard" w:cs="Poor Richard" w:hint="default"/>
      </w:rPr>
    </w:lvl>
    <w:lvl w:ilvl="1" w:tplc="3F120B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2E2F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2AB8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0B6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94CD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D63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C4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3085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543651"/>
    <w:multiLevelType w:val="hybridMultilevel"/>
    <w:tmpl w:val="F902559C"/>
    <w:lvl w:ilvl="0" w:tplc="C9AA2BA6">
      <w:start w:val="1"/>
      <w:numFmt w:val="bullet"/>
      <w:lvlText w:val="–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E0301588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 w:hint="default"/>
      </w:rPr>
    </w:lvl>
    <w:lvl w:ilvl="2" w:tplc="63507040">
      <w:start w:val="1"/>
      <w:numFmt w:val="bullet"/>
      <w:lvlText w:val="§"/>
      <w:lvlJc w:val="left"/>
      <w:pPr>
        <w:ind w:left="2934" w:hanging="360"/>
      </w:pPr>
      <w:rPr>
        <w:rFonts w:ascii="Wingdings" w:eastAsia="Wingdings" w:hAnsi="Wingdings" w:cs="Wingdings" w:hint="default"/>
      </w:rPr>
    </w:lvl>
    <w:lvl w:ilvl="3" w:tplc="E1AE58EC">
      <w:start w:val="1"/>
      <w:numFmt w:val="bullet"/>
      <w:lvlText w:val="·"/>
      <w:lvlJc w:val="left"/>
      <w:pPr>
        <w:ind w:left="3654" w:hanging="360"/>
      </w:pPr>
      <w:rPr>
        <w:rFonts w:ascii="Symbol" w:eastAsia="Symbol" w:hAnsi="Symbol" w:cs="Symbol" w:hint="default"/>
      </w:rPr>
    </w:lvl>
    <w:lvl w:ilvl="4" w:tplc="ED7653AC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 w:hint="default"/>
      </w:rPr>
    </w:lvl>
    <w:lvl w:ilvl="5" w:tplc="7B9C7302">
      <w:start w:val="1"/>
      <w:numFmt w:val="bullet"/>
      <w:lvlText w:val="§"/>
      <w:lvlJc w:val="left"/>
      <w:pPr>
        <w:ind w:left="5094" w:hanging="360"/>
      </w:pPr>
      <w:rPr>
        <w:rFonts w:ascii="Wingdings" w:eastAsia="Wingdings" w:hAnsi="Wingdings" w:cs="Wingdings" w:hint="default"/>
      </w:rPr>
    </w:lvl>
    <w:lvl w:ilvl="6" w:tplc="87A8D478">
      <w:start w:val="1"/>
      <w:numFmt w:val="bullet"/>
      <w:lvlText w:val="·"/>
      <w:lvlJc w:val="left"/>
      <w:pPr>
        <w:ind w:left="5814" w:hanging="360"/>
      </w:pPr>
      <w:rPr>
        <w:rFonts w:ascii="Symbol" w:eastAsia="Symbol" w:hAnsi="Symbol" w:cs="Symbol" w:hint="default"/>
      </w:rPr>
    </w:lvl>
    <w:lvl w:ilvl="7" w:tplc="AB5A470C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 w:hint="default"/>
      </w:rPr>
    </w:lvl>
    <w:lvl w:ilvl="8" w:tplc="1916AE06">
      <w:start w:val="1"/>
      <w:numFmt w:val="bullet"/>
      <w:lvlText w:val="§"/>
      <w:lvlJc w:val="left"/>
      <w:pPr>
        <w:ind w:left="7254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1E9783D"/>
    <w:multiLevelType w:val="hybridMultilevel"/>
    <w:tmpl w:val="07B4C4F8"/>
    <w:lvl w:ilvl="0" w:tplc="E6DC3DF0">
      <w:start w:val="1"/>
      <w:numFmt w:val="bullet"/>
      <w:lvlText w:val="–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A78419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E28E71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9D8803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0DCF1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B66C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D244E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ADC19C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C4AF5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72473FB"/>
    <w:multiLevelType w:val="hybridMultilevel"/>
    <w:tmpl w:val="51C8E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7944C4"/>
    <w:multiLevelType w:val="hybridMultilevel"/>
    <w:tmpl w:val="A1C6A4A4"/>
    <w:lvl w:ilvl="0" w:tplc="A09AE5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7EE74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88225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C06128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676B28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53208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B90AB5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4FA638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AB413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03"/>
    <w:rsid w:val="000F373D"/>
    <w:rsid w:val="00174172"/>
    <w:rsid w:val="001E2B6C"/>
    <w:rsid w:val="002405BA"/>
    <w:rsid w:val="002A6BFB"/>
    <w:rsid w:val="004C4390"/>
    <w:rsid w:val="004D1119"/>
    <w:rsid w:val="00763603"/>
    <w:rsid w:val="0078479F"/>
    <w:rsid w:val="007C3C98"/>
    <w:rsid w:val="009E6E5C"/>
    <w:rsid w:val="00B065ED"/>
    <w:rsid w:val="00C23283"/>
    <w:rsid w:val="00CB77DB"/>
    <w:rsid w:val="00D52DD5"/>
    <w:rsid w:val="00F56C8A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07DF6-1B0C-41FB-8A88-6D4C2C14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03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6360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6360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6360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6360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6360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6360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636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6360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6360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6360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636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76360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636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636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636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76360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636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6360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7636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63603"/>
  </w:style>
  <w:style w:type="paragraph" w:styleId="a5">
    <w:name w:val="Title"/>
    <w:basedOn w:val="a"/>
    <w:next w:val="a"/>
    <w:link w:val="a6"/>
    <w:uiPriority w:val="10"/>
    <w:qFormat/>
    <w:rsid w:val="00763603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76360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6360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636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36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36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63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6360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636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63603"/>
  </w:style>
  <w:style w:type="paragraph" w:customStyle="1" w:styleId="10">
    <w:name w:val="Нижний колонтитул1"/>
    <w:basedOn w:val="a"/>
    <w:link w:val="CaptionChar"/>
    <w:uiPriority w:val="99"/>
    <w:unhideWhenUsed/>
    <w:rsid w:val="007636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63603"/>
  </w:style>
  <w:style w:type="character" w:customStyle="1" w:styleId="CaptionChar">
    <w:name w:val="Caption Char"/>
    <w:link w:val="10"/>
    <w:uiPriority w:val="99"/>
    <w:rsid w:val="00763603"/>
  </w:style>
  <w:style w:type="table" w:styleId="ab">
    <w:name w:val="Table Grid"/>
    <w:uiPriority w:val="59"/>
    <w:rsid w:val="00763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3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636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7636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63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636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6360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636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636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6360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636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6360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6360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63603"/>
    <w:rPr>
      <w:sz w:val="18"/>
    </w:rPr>
  </w:style>
  <w:style w:type="character" w:styleId="af">
    <w:name w:val="footnote reference"/>
    <w:uiPriority w:val="99"/>
    <w:unhideWhenUsed/>
    <w:rsid w:val="0076360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6360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63603"/>
    <w:rPr>
      <w:sz w:val="20"/>
    </w:rPr>
  </w:style>
  <w:style w:type="character" w:styleId="af2">
    <w:name w:val="endnote reference"/>
    <w:uiPriority w:val="99"/>
    <w:semiHidden/>
    <w:unhideWhenUsed/>
    <w:rsid w:val="0076360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3603"/>
    <w:pPr>
      <w:spacing w:after="57"/>
    </w:pPr>
  </w:style>
  <w:style w:type="paragraph" w:styleId="22">
    <w:name w:val="toc 2"/>
    <w:basedOn w:val="a"/>
    <w:next w:val="a"/>
    <w:uiPriority w:val="39"/>
    <w:unhideWhenUsed/>
    <w:rsid w:val="007636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36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36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36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36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36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36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3603"/>
    <w:pPr>
      <w:spacing w:after="57"/>
      <w:ind w:left="2268"/>
    </w:pPr>
  </w:style>
  <w:style w:type="paragraph" w:styleId="af3">
    <w:name w:val="TOC Heading"/>
    <w:uiPriority w:val="39"/>
    <w:unhideWhenUsed/>
    <w:rsid w:val="00763603"/>
  </w:style>
  <w:style w:type="paragraph" w:styleId="af4">
    <w:name w:val="table of figures"/>
    <w:basedOn w:val="a"/>
    <w:next w:val="a"/>
    <w:uiPriority w:val="99"/>
    <w:unhideWhenUsed/>
    <w:rsid w:val="00763603"/>
    <w:pPr>
      <w:spacing w:after="0"/>
    </w:pPr>
  </w:style>
  <w:style w:type="character" w:customStyle="1" w:styleId="WW8Num1z0">
    <w:name w:val="WW8Num1z0"/>
    <w:qFormat/>
    <w:rsid w:val="00763603"/>
    <w:rPr>
      <w:rFonts w:ascii="Symbol" w:hAnsi="Symbol" w:cs="Symbol"/>
    </w:rPr>
  </w:style>
  <w:style w:type="character" w:customStyle="1" w:styleId="WW8Num1z1">
    <w:name w:val="WW8Num1z1"/>
    <w:qFormat/>
    <w:rsid w:val="00763603"/>
    <w:rPr>
      <w:rFonts w:ascii="Wingdings" w:hAnsi="Wingdings" w:cs="Wingdings"/>
    </w:rPr>
  </w:style>
  <w:style w:type="character" w:customStyle="1" w:styleId="WW8Num2z0">
    <w:name w:val="WW8Num2z0"/>
    <w:qFormat/>
    <w:rsid w:val="00763603"/>
    <w:rPr>
      <w:rFonts w:ascii="Poor Richard" w:hAnsi="Poor Richard" w:cs="Poor Richard"/>
    </w:rPr>
  </w:style>
  <w:style w:type="character" w:customStyle="1" w:styleId="WW8Num2z1">
    <w:name w:val="WW8Num2z1"/>
    <w:qFormat/>
    <w:rsid w:val="00763603"/>
    <w:rPr>
      <w:rFonts w:ascii="Courier New" w:hAnsi="Courier New" w:cs="Courier New"/>
    </w:rPr>
  </w:style>
  <w:style w:type="character" w:customStyle="1" w:styleId="WW8Num2z2">
    <w:name w:val="WW8Num2z2"/>
    <w:qFormat/>
    <w:rsid w:val="00763603"/>
    <w:rPr>
      <w:rFonts w:ascii="Wingdings" w:hAnsi="Wingdings" w:cs="Wingdings"/>
    </w:rPr>
  </w:style>
  <w:style w:type="character" w:customStyle="1" w:styleId="WW8Num2z3">
    <w:name w:val="WW8Num2z3"/>
    <w:qFormat/>
    <w:rsid w:val="00763603"/>
    <w:rPr>
      <w:rFonts w:ascii="Symbol" w:hAnsi="Symbol" w:cs="Symbol"/>
    </w:rPr>
  </w:style>
  <w:style w:type="character" w:customStyle="1" w:styleId="ConsPlusNormal">
    <w:name w:val="ConsPlusNormal Знак"/>
    <w:qFormat/>
    <w:rsid w:val="00763603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Текст выноски Знак"/>
    <w:qFormat/>
    <w:rsid w:val="0076360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76360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763603"/>
    <w:pPr>
      <w:spacing w:after="140"/>
    </w:pPr>
  </w:style>
  <w:style w:type="paragraph" w:styleId="af7">
    <w:name w:val="List"/>
    <w:basedOn w:val="af6"/>
    <w:rsid w:val="00763603"/>
  </w:style>
  <w:style w:type="paragraph" w:customStyle="1" w:styleId="13">
    <w:name w:val="Название объекта1"/>
    <w:basedOn w:val="a"/>
    <w:qFormat/>
    <w:rsid w:val="0076360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63603"/>
    <w:pPr>
      <w:suppressLineNumbers/>
    </w:pPr>
  </w:style>
  <w:style w:type="paragraph" w:customStyle="1" w:styleId="ConsPlusNormal0">
    <w:name w:val="ConsPlusNormal"/>
    <w:qFormat/>
    <w:rsid w:val="00763603"/>
    <w:pPr>
      <w:widowControl w:val="0"/>
    </w:pPr>
    <w:rPr>
      <w:rFonts w:eastAsia="Times New Roman" w:cs="Times New Roman"/>
      <w:sz w:val="28"/>
      <w:szCs w:val="20"/>
      <w:lang w:val="ru-RU" w:bidi="ar-SA"/>
    </w:rPr>
  </w:style>
  <w:style w:type="paragraph" w:styleId="af8">
    <w:name w:val="Normal (Web)"/>
    <w:basedOn w:val="a"/>
    <w:qFormat/>
    <w:rsid w:val="0076360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qFormat/>
    <w:rsid w:val="007636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76360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63603"/>
    <w:pPr>
      <w:jc w:val="center"/>
    </w:pPr>
    <w:rPr>
      <w:b/>
      <w:bCs/>
    </w:rPr>
  </w:style>
  <w:style w:type="numbering" w:customStyle="1" w:styleId="WW8Num1">
    <w:name w:val="WW8Num1"/>
    <w:qFormat/>
    <w:rsid w:val="00763603"/>
  </w:style>
  <w:style w:type="numbering" w:customStyle="1" w:styleId="WW8Num2">
    <w:name w:val="WW8Num2"/>
    <w:qFormat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Kandarakov</dc:creator>
  <cp:keywords> </cp:keywords>
  <dc:description/>
  <cp:lastModifiedBy>User</cp:lastModifiedBy>
  <cp:revision>2</cp:revision>
  <dcterms:created xsi:type="dcterms:W3CDTF">2024-06-26T02:45:00Z</dcterms:created>
  <dcterms:modified xsi:type="dcterms:W3CDTF">2024-06-26T02:45:00Z</dcterms:modified>
  <dc:language>en-US</dc:language>
</cp:coreProperties>
</file>