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35" w:rsidRPr="00C60298" w:rsidRDefault="003E0316" w:rsidP="00596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60298">
        <w:rPr>
          <w:rFonts w:ascii="Times New Roman" w:hAnsi="Times New Roman"/>
          <w:b/>
          <w:sz w:val="24"/>
          <w:szCs w:val="24"/>
        </w:rPr>
        <w:t>Аналитическая записка</w:t>
      </w:r>
    </w:p>
    <w:p w:rsidR="009A3435" w:rsidRPr="00C60298" w:rsidRDefault="317BCCA1" w:rsidP="00596A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к мониторингу социально-экономического развития муниципального образования «</w:t>
      </w:r>
      <w:proofErr w:type="spellStart"/>
      <w:r w:rsidRPr="00C60298">
        <w:rPr>
          <w:rFonts w:ascii="Times New Roman" w:hAnsi="Times New Roman"/>
          <w:b/>
          <w:bCs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b/>
          <w:bCs/>
          <w:sz w:val="24"/>
          <w:szCs w:val="24"/>
        </w:rPr>
        <w:t xml:space="preserve"> район» </w:t>
      </w:r>
      <w:r w:rsidR="003E0316" w:rsidRPr="00C60298">
        <w:rPr>
          <w:rFonts w:ascii="Times New Roman" w:hAnsi="Times New Roman"/>
          <w:sz w:val="24"/>
          <w:szCs w:val="24"/>
        </w:rPr>
        <w:br/>
      </w:r>
      <w:r w:rsidRPr="00C60298">
        <w:rPr>
          <w:rFonts w:ascii="Times New Roman" w:hAnsi="Times New Roman"/>
          <w:b/>
          <w:bCs/>
          <w:sz w:val="24"/>
          <w:szCs w:val="24"/>
        </w:rPr>
        <w:t>на 01.01.2021 г.</w:t>
      </w:r>
    </w:p>
    <w:p w:rsidR="009A3435" w:rsidRPr="00C60298" w:rsidRDefault="009A3435" w:rsidP="00596A25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9A3435" w:rsidRPr="00C60298" w:rsidRDefault="2C6C75CE" w:rsidP="00596A25">
      <w:pPr>
        <w:suppressAutoHyphens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Общие показатели</w:t>
      </w:r>
    </w:p>
    <w:p w:rsidR="2C6C75CE" w:rsidRPr="00C60298" w:rsidRDefault="2C6C75CE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РА расположен в </w:t>
      </w:r>
      <w:proofErr w:type="spellStart"/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горно-степной</w:t>
      </w:r>
      <w:proofErr w:type="spellEnd"/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зоне западной части Республики Алтай. Площадь территории муниципального образования составляет 3019 км² (3,26 % от площади республики). </w:t>
      </w:r>
    </w:p>
    <w:p w:rsidR="2C6C75CE" w:rsidRPr="00C60298" w:rsidRDefault="2C6C75CE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состав входят 7 сельских поселений, 19 населенных пунктов. Административный центр – с. Чемал находится на расстоянии 105 км от республиканского центра г. Горно-Алтайска. </w:t>
      </w:r>
    </w:p>
    <w:p w:rsidR="2C6C75CE" w:rsidRPr="00C60298" w:rsidRDefault="54CF1A9B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Оценка численности постоянного населения муниципального образования на 01.01.2020 г. составила 10985 чел. Плотность населения муниципального образования – 3,6 чел. на 1 км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vertAlign w:val="superscript"/>
        </w:rPr>
        <w:t>2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2C6C75CE" w:rsidRPr="00C60298" w:rsidRDefault="2C6C75CE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Мониторинг социально-экономического развития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осуществляется в рамках Соглашения в области планирования социально-экономического развития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на 2020 г. от 16 марта 2020 г.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003E0316" w:rsidP="00596A25">
      <w:pPr>
        <w:suppressAutoHyphens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Раздел </w:t>
      </w:r>
      <w:r w:rsidRPr="00C6029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I</w:t>
      </w:r>
      <w:r w:rsidRPr="00C60298">
        <w:rPr>
          <w:rFonts w:ascii="Times New Roman" w:eastAsia="Times New Roman" w:hAnsi="Times New Roman"/>
          <w:b/>
          <w:sz w:val="24"/>
          <w:szCs w:val="24"/>
          <w:lang w:eastAsia="ar-SA"/>
        </w:rPr>
        <w:t>. Собственные доходы</w:t>
      </w:r>
    </w:p>
    <w:p w:rsidR="009A3435" w:rsidRPr="00C60298" w:rsidRDefault="57C88B9D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1.1. </w:t>
      </w:r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Налоговые доходы консолидированного бюджета муниципального образования (без учета доходов от уплаты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инжекторных</w:t>
      </w:r>
      <w:proofErr w:type="spellEnd"/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) двигателей, производимые на территории Российской Федерации)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Фактическое поступление налоговых доходов консолидированного бюджета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(без учета доходов от уплаты акцизов на автомобильный и прямогонный бензин, дизельных и (или) карбюраторных (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инжекторных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) двигателей, производимых на территории Российской Федерации) на 01.01.2021 г. составило 128,8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сравнении с планом на 01.01.2021 г. отмечено отклонение от целевого значения показателя на + 11,0 процентных пунктов.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Причина выполнения планового значения связана с увеличением поступлений от НДФЛ за счет повышения МРОТ с 01.01.2020 - с 11280 руб. до 12130 руб., УСН в связи с оплатой об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разовавшейся задолженност</w:t>
      </w:r>
      <w:proofErr w:type="gramStart"/>
      <w:r w:rsidR="00C14DC5" w:rsidRPr="00C60298">
        <w:rPr>
          <w:rFonts w:ascii="Times New Roman" w:eastAsia="Times New Roman" w:hAnsi="Times New Roman"/>
          <w:sz w:val="24"/>
          <w:szCs w:val="24"/>
        </w:rPr>
        <w:t>и ООО</w:t>
      </w:r>
      <w:proofErr w:type="gram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 «М»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.  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В сравнении с 01.01.2020 г. отмечен рост поступлений налоговых доходов консолидированного бюджета муниципального образования (без учета акцизов) на 13,6</w:t>
      </w:r>
      <w:r w:rsidRPr="00C60298">
        <w:rPr>
          <w:rFonts w:ascii="Times New Roman" w:eastAsia="Times New Roman" w:hAnsi="Times New Roman"/>
          <w:strike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млн. руб., темп роста составил 111,5 %.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Причина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роста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поступлений связана с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 xml:space="preserve">увеличением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поступлений от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НДФЛ, УСН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НИО и ЗН.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Исполнение доходной части бюджета муниципального образования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в части налоговых поступлений по отдельным доходным источникам: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>НДФЛ: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факт на 01.01.2021 г. - 62,7 млн. руб. По отношению к 01.01.2020 г. отмечен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рост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13,3 % или на 7,3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Причины роста поступлений НДФЛ: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1) увеличение МРОТ с 01.01.2020 г. - с 11280 руб. до 12130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;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lastRenderedPageBreak/>
        <w:t>2) рост налогооблагаемой базы, вследствие чего рост поступле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ний по налогоплательщикам: ООО «А</w:t>
      </w:r>
      <w:r w:rsidR="00F530F1">
        <w:rPr>
          <w:rFonts w:ascii="Times New Roman" w:eastAsia="Times New Roman" w:hAnsi="Times New Roman"/>
          <w:sz w:val="24"/>
          <w:szCs w:val="24"/>
        </w:rPr>
        <w:t>» на 1,5 млн</w:t>
      </w:r>
      <w:proofErr w:type="gramStart"/>
      <w:r w:rsidR="00F530F1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="00F530F1">
        <w:rPr>
          <w:rFonts w:ascii="Times New Roman" w:eastAsia="Times New Roman" w:hAnsi="Times New Roman"/>
          <w:sz w:val="24"/>
          <w:szCs w:val="24"/>
        </w:rPr>
        <w:t>уб., БУЗ РА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1,5 млн.руб.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 xml:space="preserve">УСН: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факт на 01.01.2021 г. - 21,4 млн. руб. По отношению к 01.01.2020 г. отмечен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 xml:space="preserve">рост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на 31,3 % или на 5,1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Причиной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роста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поступлений УСН является оплата об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разовавшейся задолженности ООО «М»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(01.01.2021 - 16,6 тыс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уб., 01.01.2020 - 6,2 млн.руб.) 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>НИО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: факт на 01.01.2021 г. - 13,9 млн. руб. По отношению к 01.01.2020 г. отмечен рост на 7,1 % или на 0,9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Причиной увеличения поступлений НИО является увеличение поступлений по данному виду налога в связи с п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огашением задолженности БУЗ РА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(01.01.2021 - 5,9 тыс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уб., 01.01.2020 - 0,4 млн.руб.)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>ЗН с организаций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: факт на 01.01.2021 г. - 9,1 млн. руб. По отношению к 01.01.2020 г. отмечен рост на 8,5 % или на 0,7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Причины увеличения поступлений: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1)  Увеличение поступлений по основным налогоплательщика п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о данному виду налога (ФГБУ ТС «Ч» на 0,2 </w:t>
      </w:r>
      <w:proofErr w:type="spellStart"/>
      <w:r w:rsidR="00C14DC5" w:rsidRPr="00C60298">
        <w:rPr>
          <w:rFonts w:ascii="Times New Roman" w:eastAsia="Times New Roman" w:hAnsi="Times New Roman"/>
          <w:sz w:val="24"/>
          <w:szCs w:val="24"/>
        </w:rPr>
        <w:t>млн</w:t>
      </w:r>
      <w:proofErr w:type="gramStart"/>
      <w:r w:rsidR="00C14DC5"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="00C14DC5" w:rsidRPr="00C60298">
        <w:rPr>
          <w:rFonts w:ascii="Times New Roman" w:eastAsia="Times New Roman" w:hAnsi="Times New Roman"/>
          <w:sz w:val="24"/>
          <w:szCs w:val="24"/>
        </w:rPr>
        <w:t>уб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, ООО «М» на 0,2 </w:t>
      </w:r>
      <w:proofErr w:type="spellStart"/>
      <w:r w:rsidR="00C14DC5" w:rsidRPr="00C60298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, ООО «Ш» на 0,3 </w:t>
      </w:r>
      <w:proofErr w:type="spellStart"/>
      <w:r w:rsidR="00C14DC5" w:rsidRPr="00C60298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, ООО «К» на 0,2 </w:t>
      </w:r>
      <w:proofErr w:type="spellStart"/>
      <w:r w:rsidR="00C14DC5" w:rsidRPr="00C60298">
        <w:rPr>
          <w:rFonts w:ascii="Times New Roman" w:eastAsia="Times New Roman" w:hAnsi="Times New Roman"/>
          <w:sz w:val="24"/>
          <w:szCs w:val="24"/>
        </w:rPr>
        <w:t>млн.руб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>, БУЗ РА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на 0,3 млн.руб.).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>ЗН с физических лиц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: факт на 01.01.2021 г. - 9,9 млн. руб. По отношению к 01.01.2020 г. отмечен рост на 7,2 % или на 0,7 млн. руб.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Причиной роста поступлений является уменьшение задолженности на 0,5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уб. (01.01.2021 - 7,2 млн.руб., 01.01.2020 - 6,6 млн.руб.). </w:t>
      </w:r>
    </w:p>
    <w:p w:rsidR="57C88B9D" w:rsidRPr="00C60298" w:rsidRDefault="57C88B9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Мероприятия, проведенные органами местного самоуправления в целях увеличения поступления налоговых доходов (без учета акцизов). </w:t>
      </w:r>
    </w:p>
    <w:p w:rsidR="57C88B9D" w:rsidRPr="00C60298" w:rsidRDefault="57C88B9D" w:rsidP="00596A25">
      <w:pPr>
        <w:spacing w:after="0"/>
        <w:ind w:firstLine="53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1) Проведение комиссии по мобилизации доходов в консолидированный бюджет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район». За 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было проведено 3 комиссии по мобилизации доходов в консолидированный бюджет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район». Приглашено 48 налогоплательщиков с общей суммой задолженности 8,4 млн. руб. Из них погашено по результатам комиссии 0,3 млн. руб. Ведется совместная работа по недоимке с налоговой инспекцией, судебными приставами, УПФР, ФСС в виде консультаций, предоставления различной информации и т.д. На особом контроле находится задолженность бюджетных учреждений по налогам и сборам в бюджет РФ, проводятся переговоры с руководителями и направляются письма с требованием оплаты и предоставления подтверждающих оплату документов. Специалистами Финансового отдела Администрации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за 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было направлено 100 писем бюджетным учреждениям. Учреждениями ведется сверка с УФНС России по Республике Алтай по задолженности.  </w:t>
      </w:r>
    </w:p>
    <w:p w:rsidR="57C88B9D" w:rsidRPr="00C60298" w:rsidRDefault="57C88B9D" w:rsidP="00596A25">
      <w:pPr>
        <w:spacing w:after="0"/>
        <w:ind w:firstLine="533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2) Проводится подворный обход в целях информирования населения по имеющимся у них задолженностям по налогам.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 xml:space="preserve">Специалистами Администрации района и сельских поселений регулярно проводится работа по вопросу оплаты задолженности по налогам на основании списков недоимщиков, предоставляемых УФНС России по Республике Алтай, в т.ч. путем: устных разъяснений по телефону, рассылки писем и квитанций с уведомлением, разъяснительных бесед с должниками, размещения объявлений о приеме денежных средств в пользу уплаты налогов в кассу сельского поселения. </w:t>
      </w:r>
      <w:proofErr w:type="gramEnd"/>
    </w:p>
    <w:p w:rsidR="57C88B9D" w:rsidRPr="00C60298" w:rsidRDefault="57C88B9D" w:rsidP="00596A25">
      <w:pPr>
        <w:spacing w:after="0"/>
        <w:ind w:firstLine="533"/>
        <w:jc w:val="both"/>
        <w:rPr>
          <w:rFonts w:ascii="Times New Roman" w:eastAsia="Times New Roman" w:hAnsi="Times New Roman"/>
          <w:strike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3) В ходе поведенных рейдов сотрудниками Администрации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за 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было выявлено 10 объектов, по которым фактическое использование отличается от вида разрешенной деятельности, в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связи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с чем налоги начислялись неверно. Сведения о данных объектах направлены в Министерство экономического развития Республики </w:t>
      </w:r>
      <w:r w:rsidRPr="00C60298">
        <w:rPr>
          <w:rFonts w:ascii="Times New Roman" w:eastAsia="Times New Roman" w:hAnsi="Times New Roman"/>
          <w:sz w:val="24"/>
          <w:szCs w:val="24"/>
        </w:rPr>
        <w:lastRenderedPageBreak/>
        <w:t>Алтай.  Так же было выдано 6 разрешений на размещение временных объектов для осуществления торговой деятельности или иной предприниматель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ской деятельности: ООО «Т</w:t>
      </w:r>
      <w:proofErr w:type="gramStart"/>
      <w:r w:rsidR="00C14DC5" w:rsidRPr="00C60298">
        <w:rPr>
          <w:rFonts w:ascii="Times New Roman" w:eastAsia="Times New Roman" w:hAnsi="Times New Roman"/>
          <w:sz w:val="24"/>
          <w:szCs w:val="24"/>
        </w:rPr>
        <w:t>2</w:t>
      </w:r>
      <w:proofErr w:type="gramEnd"/>
      <w:r w:rsidR="00C14DC5" w:rsidRPr="00C60298">
        <w:rPr>
          <w:rFonts w:ascii="Times New Roman" w:eastAsia="Times New Roman" w:hAnsi="Times New Roman"/>
          <w:sz w:val="24"/>
          <w:szCs w:val="24"/>
        </w:rPr>
        <w:t>», ПАО «В», ПАО «Р», ООО «А», ООО «А», ГУП ДХ АК «С»</w:t>
      </w:r>
      <w:r w:rsidRPr="00C60298">
        <w:rPr>
          <w:rFonts w:ascii="Times New Roman" w:eastAsia="Times New Roman" w:hAnsi="Times New Roman"/>
          <w:sz w:val="24"/>
          <w:szCs w:val="24"/>
        </w:rPr>
        <w:t>.</w:t>
      </w:r>
    </w:p>
    <w:p w:rsidR="57C88B9D" w:rsidRPr="00C60298" w:rsidRDefault="57C88B9D" w:rsidP="00596A25">
      <w:pPr>
        <w:spacing w:after="0"/>
        <w:ind w:firstLine="533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4) Финансовым отделом Администрации района периодически размещается в СМИ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информация по местным налогам физических лиц: об изменениях в Налоговом кодексе, об </w:t>
      </w:r>
      <w:proofErr w:type="spellStart"/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интернет-сервисе</w:t>
      </w:r>
      <w:proofErr w:type="spellEnd"/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«Личный кабинет налогоплательщика», о сроках уплаты налогов и прочее. Также данная информация размещена на сайте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в разделе «Федеральная налоговая служба». Сельскими администрациями проводится информирование населения о сроках уплаты налогов, о работе «Мобильного офиса» УФНС, путем размещения объявлений на информационных стендах в поселениях, информирования граждан по телефону.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9A3435" w:rsidRPr="00C60298" w:rsidRDefault="2C6C75CE" w:rsidP="00596A2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6029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C60298">
        <w:rPr>
          <w:rFonts w:ascii="Times New Roman" w:hAnsi="Times New Roman"/>
          <w:b/>
          <w:bCs/>
          <w:sz w:val="24"/>
          <w:szCs w:val="24"/>
        </w:rPr>
        <w:t>. Реальный сектор экономики</w:t>
      </w:r>
    </w:p>
    <w:p w:rsidR="2C6C75CE" w:rsidRPr="00C60298" w:rsidRDefault="2C6C75CE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Основными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бюджетообразующими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отраслями реального сектора экономики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являются торговля, деятельность гостиниц и общественного питания.</w:t>
      </w:r>
    </w:p>
    <w:p w:rsidR="009A3435" w:rsidRPr="00C60298" w:rsidRDefault="2C883BF4" w:rsidP="00596A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C602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Промышленное производство</w:t>
      </w:r>
    </w:p>
    <w:p w:rsidR="009A3435" w:rsidRPr="00C60298" w:rsidRDefault="2C883BF4" w:rsidP="00596A2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Количество предприятий и организаций по «чистым видам» экономической деятельности в сфере промышленности, действующих по состоянию на 01.01.2021 г., по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район» составило 26 ед., что к аналогичному периоду прошлого года составило </w:t>
      </w:r>
      <w:r w:rsidRPr="00C60298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рост</w:t>
      </w: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на 4 ед. или на 18,2 % (на 01.01.2020 г. – 22 ед.).</w:t>
      </w: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Объем отгруженных товаров собственного производства, выполнено работ и услуг собственными силами (без субъектов малого предпринимательства)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По состоянию на 01.01.2021 г. объем отгруженных товаров собственного производства, выполненных работ и услуг собственными силами предприятий, составил 745,7 млн. руб., темп роста к аналогичному периоду прошлого года составил 209,11 % (на 01.01.2020 г. –356,6 млн</w:t>
      </w:r>
      <w:proofErr w:type="gramStart"/>
      <w:r w:rsidRPr="00C60298">
        <w:rPr>
          <w:rFonts w:ascii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hAnsi="Times New Roman"/>
          <w:sz w:val="24"/>
          <w:szCs w:val="24"/>
        </w:rPr>
        <w:t>уб.).</w:t>
      </w: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сравнении с планом на 01.01.2021 г. отмечено отклонение объема отгруженных товаров собственного производства, выполненных работ и услуг собственными силами предприятий на (+) 109,11 процентных пунктов.</w:t>
      </w: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Причина отклонения от планового значения связана с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увеличением предоставления платных услуг по виду деятельности I «Деятельность гостиниц и предприятий», в связи со снятием ограничений по работе туристических объектов с июля 2020 г.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Увеличение общего объема отгруженных товаров собственного производства, выполненных работ и услуг собственными силами предприятий на 01.01.2021 г. произошло по разделу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Q «Деятельность в области здравоохранения и социальных услуг»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составило 25,7 % к аналогичному периоду прошлого года за счет увеличения предоставления медицинских услуг.</w:t>
      </w: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Уменьшение общего объема отгруженных товаров собственного производства, выполненных работ и услуг собственными силами предприятий на 01.01.2021 г. отмечено по разделам: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по разделу G «Торговля оптовая и розничная; ремонт автотранспортных средств и мотоциклов»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снижение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составило 5,9 % к аналогичному периоду прошлого года за счет сокращения продаж в связи с пандемией;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по разделу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«Образование» снижение составило 23,9% к аналогичному периоду прошлого года за счет сокращения предоставления платных услуг в летний период по </w:t>
      </w:r>
      <w:r w:rsidRPr="00C60298">
        <w:rPr>
          <w:rFonts w:ascii="Times New Roman" w:eastAsia="Times New Roman" w:hAnsi="Times New Roman"/>
          <w:sz w:val="24"/>
          <w:szCs w:val="24"/>
        </w:rPr>
        <w:lastRenderedPageBreak/>
        <w:t>дошкольному, школьному образованию и дополнительному образованию детей и взрослых.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В структуре общего объема отгруженных товаров собственного производства, выполненных работ и услуг собственными силами предприятий на 01.01.2021 г. наибольшая доля </w:t>
      </w:r>
      <w:r w:rsidRPr="00C60298">
        <w:rPr>
          <w:rFonts w:ascii="Times New Roman" w:eastAsia="Times New Roman" w:hAnsi="Times New Roman"/>
          <w:sz w:val="24"/>
          <w:szCs w:val="24"/>
        </w:rPr>
        <w:t>(согласно имеющимся статистическим данным в целях обеспечения исполнения ст. 4, п. 5; ст. 9, п. 1 Федерального закона от 29.11.2007 г. № 282-ФЗ “Об официальном статистическом учете и системе государственной статистики в Российской Федерации”) приходится на раздел Q «Деятельность в области здравоохранения и социальных услуг» и составляет 22,1 % от общего объема.</w:t>
      </w:r>
    </w:p>
    <w:p w:rsidR="009A3435" w:rsidRPr="00C60298" w:rsidRDefault="009A3435" w:rsidP="00596A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Объем промышленного производства</w:t>
      </w:r>
    </w:p>
    <w:p w:rsidR="009A3435" w:rsidRPr="00C60298" w:rsidRDefault="3BEE6FAD" w:rsidP="00596A25">
      <w:pPr>
        <w:pStyle w:val="a5"/>
        <w:shd w:val="clear" w:color="auto" w:fill="FFFFFF"/>
        <w:spacing w:before="0" w:after="0" w:line="276" w:lineRule="auto"/>
        <w:ind w:firstLine="709"/>
        <w:jc w:val="both"/>
      </w:pPr>
      <w:r w:rsidRPr="00C60298">
        <w:t>В сфере промышленного производства в январе - декабре 2020 г. сводный индекс промышленного производства (далее – ИПП) составил 118,1 % (по Республике Алтай – 121,4 %), объем отгруженной промышленными предприятиями продукции – 25,7 млн. руб.</w:t>
      </w:r>
    </w:p>
    <w:p w:rsidR="009A3435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сравнении с планом на 01.01.2020 г. отмечено отклонение ИФО объема промышленного производства на (+) 25,03 процентных пункта.</w:t>
      </w:r>
    </w:p>
    <w:p w:rsidR="2C883BF4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Причины отклонения от планового значения связана с тем, что увеличились объемы производства по разделу D «Обеспечение электрической энергией, газом и паром; кондиционирование воздуха», ИФО составил 128,7 % (по Республике Алтай – 101,6%) на 10,5 процентных пункта больше по сравнению с аналогичным периодом прошлого года (на 01.01.2020 г. – 112,1 %), рост производства произошел за счет роста производства электроэнергии (выработки электроэнергии солнечной электростанцией).</w:t>
      </w:r>
      <w:proofErr w:type="gramEnd"/>
    </w:p>
    <w:p w:rsidR="2C883BF4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добывающем секторе индекс производства сложился на уровне 35,4 % (по Республике Алтай – 95,2%). </w:t>
      </w:r>
    </w:p>
    <w:p w:rsidR="2C883BF4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В обрабатывающей промышленности ИФО составил 101,5 % (по Республике Алтай-138,3 %).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основании Закона «О статистической отчетности» в рамках конфиденциальности информации, где отчетность представлена менее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чем тремя субъектами, данные по видам деятельности производства продукции территориальным отделением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Алтайкрастата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по Республике Алтай не представлены, в связи с этим анализ произвести не имеется возможности.  </w:t>
      </w:r>
    </w:p>
    <w:p w:rsidR="009A3435" w:rsidRPr="00C60298" w:rsidRDefault="2C883BF4" w:rsidP="00596A25">
      <w:pPr>
        <w:autoSpaceDE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Выводы: </w:t>
      </w:r>
      <w:r w:rsidRPr="00C60298">
        <w:rPr>
          <w:rFonts w:ascii="Times New Roman" w:hAnsi="Times New Roman"/>
          <w:i/>
          <w:iCs/>
          <w:sz w:val="24"/>
          <w:szCs w:val="24"/>
        </w:rPr>
        <w:t xml:space="preserve">увеличение </w:t>
      </w:r>
      <w:r w:rsidRPr="00C60298">
        <w:rPr>
          <w:rFonts w:ascii="Times New Roman" w:hAnsi="Times New Roman"/>
          <w:sz w:val="24"/>
          <w:szCs w:val="24"/>
        </w:rPr>
        <w:t>связано с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увеличением объемов по разделу D «Обеспечение электрической энергией, газом и паром; кондиционирование воздуха».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Для сохранения показателя проводились следующие мероприятия: в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строилась солнечная электростанция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с.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Анос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мощностью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10 МВт. В конце 2019 г. объект введен в эксплуатацию. В связи с этим в 2020 г. произошел рост объема промышленного производства.</w:t>
      </w:r>
    </w:p>
    <w:p w:rsidR="2C883BF4" w:rsidRPr="00C60298" w:rsidRDefault="2C883BF4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51EA18DF" w:rsidP="00596A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2.2. Малое и среднее предпринимательство</w:t>
      </w:r>
    </w:p>
    <w:p w:rsidR="009A3435" w:rsidRPr="00C60298" w:rsidRDefault="184F7DB3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По данным Единого реестра субъектов малого и среднего предпринимательства по состоянию на 10.01.2021 г. на территории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зарегистрировано 410 субъектов малого и среднего предпринимательства, из которых малые предприятия составили 8 ед., </w:t>
      </w:r>
      <w:proofErr w:type="spellStart"/>
      <w:r w:rsidRPr="00C60298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– 113 ед., индивидуальные предприниматели - 289 ед., средние предприятия – 0 ед.</w:t>
      </w:r>
    </w:p>
    <w:p w:rsidR="009A3435" w:rsidRPr="00C60298" w:rsidRDefault="57C88B9D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lastRenderedPageBreak/>
        <w:t xml:space="preserve">По данным </w:t>
      </w:r>
      <w:proofErr w:type="spellStart"/>
      <w:r w:rsidRPr="00C60298">
        <w:rPr>
          <w:rFonts w:ascii="Times New Roman" w:hAnsi="Times New Roman"/>
          <w:sz w:val="24"/>
          <w:szCs w:val="24"/>
        </w:rPr>
        <w:t>Алтайкрайстата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по состоянию на 01.01.2021 г. на территории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зарегистрировано 407 субъектов малого и среднего предпринимательства, из которых малые предприятия составили 6 ед., </w:t>
      </w:r>
      <w:proofErr w:type="spellStart"/>
      <w:r w:rsidRPr="00C60298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– 117 ед., индивидуальные предприниматели - 284 ед., средние предприятия – 0 ед.</w:t>
      </w:r>
    </w:p>
    <w:p w:rsidR="3BEE6FAD" w:rsidRPr="00C60298" w:rsidRDefault="1123B33B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На 10.01.2021 г. на территории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численность </w:t>
      </w:r>
      <w:proofErr w:type="spellStart"/>
      <w:r w:rsidRPr="00C60298">
        <w:rPr>
          <w:rFonts w:ascii="Times New Roman" w:hAnsi="Times New Roman"/>
          <w:sz w:val="24"/>
          <w:szCs w:val="24"/>
        </w:rPr>
        <w:t>самозанятых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составляет 94 ед. </w:t>
      </w:r>
    </w:p>
    <w:p w:rsidR="009A3435" w:rsidRPr="00C60298" w:rsidRDefault="57C88B9D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В сравнении с планом на 01.01.2021 г. отмечено отклонение на (-) 256 ед.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(на 01.01.2021 показатель составляет 698 ед.). Причины отклонения от планового значения, следующие: </w:t>
      </w:r>
    </w:p>
    <w:p w:rsidR="009A3435" w:rsidRPr="00C60298" w:rsidRDefault="57C88B9D" w:rsidP="00596A25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плановый показатель по количеству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занятых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в сфере МСП, включая ИП был завышен;</w:t>
      </w:r>
    </w:p>
    <w:p w:rsidR="009A3435" w:rsidRPr="00C60298" w:rsidRDefault="3BEE6FAD" w:rsidP="00596A25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в расчете численности занятых МСП не учтено количество плательщиков налога на профессиональный доход;</w:t>
      </w:r>
      <w:r w:rsidRPr="00C60298">
        <w:rPr>
          <w:rFonts w:ascii="Times New Roman" w:hAnsi="Times New Roman"/>
          <w:sz w:val="24"/>
          <w:szCs w:val="24"/>
        </w:rPr>
        <w:t xml:space="preserve"> </w:t>
      </w:r>
    </w:p>
    <w:p w:rsidR="57C88B9D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Отраслевая структура малого и среднего бизнеса на 10.01.2021 г. выглядит следующим образом:</w:t>
      </w:r>
    </w:p>
    <w:p w:rsidR="009A3435" w:rsidRPr="00C60298" w:rsidRDefault="003E0316" w:rsidP="00596A25">
      <w:pPr>
        <w:shd w:val="clear" w:color="auto" w:fill="FFFFFF"/>
        <w:spacing w:after="0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0298">
        <w:rPr>
          <w:rFonts w:ascii="Times New Roman" w:hAnsi="Times New Roman"/>
          <w:sz w:val="24"/>
          <w:szCs w:val="24"/>
        </w:rPr>
        <w:t>(%)</w:t>
      </w:r>
    </w:p>
    <w:tbl>
      <w:tblPr>
        <w:tblW w:w="5000" w:type="pct"/>
        <w:tblInd w:w="-52" w:type="dxa"/>
        <w:tblBorders>
          <w:top w:val="single" w:sz="6" w:space="0" w:color="808080"/>
          <w:left w:val="single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60"/>
        <w:gridCol w:w="1264"/>
        <w:gridCol w:w="1272"/>
        <w:gridCol w:w="2511"/>
      </w:tblGrid>
      <w:tr w:rsidR="009A3435" w:rsidRPr="00C60298" w:rsidTr="28D8162F">
        <w:tc>
          <w:tcPr>
            <w:tcW w:w="4335" w:type="dxa"/>
            <w:vMerge w:val="restart"/>
            <w:tcBorders>
              <w:top w:val="single" w:sz="6" w:space="0" w:color="808080"/>
              <w:left w:val="single" w:sz="6" w:space="0" w:color="808080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 отрасли ВЭД</w:t>
            </w:r>
          </w:p>
        </w:tc>
        <w:tc>
          <w:tcPr>
            <w:tcW w:w="2522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003E0316" w:rsidP="00596A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СМСП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003E0316" w:rsidP="00596A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60298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C60298">
              <w:rPr>
                <w:rFonts w:ascii="Times New Roman" w:hAnsi="Times New Roman"/>
                <w:sz w:val="24"/>
                <w:szCs w:val="24"/>
              </w:rPr>
              <w:t xml:space="preserve"> в сфере МСП</w:t>
            </w:r>
          </w:p>
        </w:tc>
      </w:tr>
      <w:tr w:rsidR="009A3435" w:rsidRPr="00C60298" w:rsidTr="28D8162F">
        <w:tc>
          <w:tcPr>
            <w:tcW w:w="4335" w:type="dxa"/>
            <w:vMerge/>
            <w:vAlign w:val="center"/>
          </w:tcPr>
          <w:p w:rsidR="009A3435" w:rsidRPr="00C60298" w:rsidRDefault="009A3435" w:rsidP="00596A25">
            <w:pPr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003E0316" w:rsidP="00596A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003E0316" w:rsidP="00596A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9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003E0316" w:rsidP="00596A25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A3435" w:rsidRPr="00C60298" w:rsidTr="28D8162F">
        <w:trPr>
          <w:trHeight w:val="334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28D8162F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698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9A3435" w:rsidRPr="00C60298" w:rsidTr="28D8162F">
        <w:trPr>
          <w:trHeight w:val="313"/>
        </w:trPr>
        <w:tc>
          <w:tcPr>
            <w:tcW w:w="43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28D8162F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воздуха,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9A3435" w:rsidRPr="00C60298" w:rsidTr="28D8162F">
        <w:trPr>
          <w:trHeight w:val="254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184F7DB3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Торговля оптовая и розничная 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28D8162F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28D8162F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A3435" w:rsidRPr="00C60298" w:rsidTr="28D8162F">
        <w:trPr>
          <w:trHeight w:val="691"/>
        </w:trPr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9A3435" w:rsidRPr="00C60298" w:rsidTr="28D8162F">
        <w:tc>
          <w:tcPr>
            <w:tcW w:w="433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vAlign w:val="center"/>
          </w:tcPr>
          <w:p w:rsidR="009A3435" w:rsidRPr="00C60298" w:rsidRDefault="003E0316" w:rsidP="00596A25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5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97" w:type="dxa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3435" w:rsidRPr="00C60298" w:rsidRDefault="3BEE6FAD" w:rsidP="00596A25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0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A3435" w:rsidRPr="00C60298" w:rsidRDefault="28D8162F" w:rsidP="00596A25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целях увеличения количества субъектов малого и среднего предпринимательства в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проведены следующие мероприятия:</w:t>
      </w:r>
    </w:p>
    <w:p w:rsidR="009A3435" w:rsidRPr="00C60298" w:rsidRDefault="28D8162F" w:rsidP="00596A25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-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проводятся консультации для СМСП; </w:t>
      </w:r>
    </w:p>
    <w:p w:rsidR="009A3435" w:rsidRPr="00C60298" w:rsidRDefault="0F08A268" w:rsidP="00596A25">
      <w:pPr>
        <w:spacing w:after="0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- на официальном сайте администрации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РА, а также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мессенджере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WhatsApp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размещается информация для СМСП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касаемая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государственной и муниципальной поддержки,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онлайн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треннингов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и т.д.</w:t>
      </w:r>
    </w:p>
    <w:p w:rsidR="0F08A268" w:rsidRPr="00C60298" w:rsidRDefault="09C8E9A6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За отчетный период финансовая муниципальная поддержка оказана ИП Фукс В.А. на возмещение части затрат, связанных с приобретением оборудования, в сумме 80 тыс. руб.</w:t>
      </w:r>
    </w:p>
    <w:p w:rsidR="0F08A268" w:rsidRPr="00C60298" w:rsidRDefault="09C8E9A6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Имущ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ественная поддержка оказана ИП </w:t>
      </w:r>
      <w:r w:rsidRPr="00C60298">
        <w:rPr>
          <w:rFonts w:ascii="Times New Roman" w:eastAsia="Times New Roman" w:hAnsi="Times New Roman"/>
          <w:sz w:val="24"/>
          <w:szCs w:val="24"/>
        </w:rPr>
        <w:t>- предоставлен земельный участок в аренду на 5 лет под ведение предпринимательской деятельности.</w:t>
      </w:r>
    </w:p>
    <w:p w:rsidR="0F08A268" w:rsidRPr="00C60298" w:rsidRDefault="09C8E9A6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Также в отчетном году субъекты малого и среднего предпринимательства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получали консультационную, информационную поддержку в ГБУ РА «Центр развития туризма и предпринимательства Республики Алтай» и 5 СМСП успешно оформили займы в МКК, НКО «Фонд поддержки МСП РА», на общую сумму 3,020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уб.</w:t>
      </w:r>
    </w:p>
    <w:p w:rsidR="28D8162F" w:rsidRPr="00C60298" w:rsidRDefault="28D8162F" w:rsidP="00596A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В целях предотвращения снижения численности работников субъектов малого и среднего предпринимательства в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РА в период пандемии проводится информирование об организации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онлайн-обучений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для работающих, в целях повышения квалификации.</w:t>
      </w:r>
      <w:proofErr w:type="gramEnd"/>
    </w:p>
    <w:p w:rsidR="009A3435" w:rsidRPr="00C60298" w:rsidRDefault="28D8162F" w:rsidP="00596A25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Таким образом, с целью создания благоприятных условий для эффективного развития малого и среднего предпринимательства и на территории МО </w:t>
      </w:r>
      <w:r w:rsidRPr="00C60298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</w:t>
      </w:r>
      <w:r w:rsidRPr="00C60298">
        <w:rPr>
          <w:rFonts w:ascii="Times New Roman" w:hAnsi="Times New Roman"/>
          <w:sz w:val="24"/>
          <w:szCs w:val="24"/>
        </w:rPr>
        <w:t xml:space="preserve"> необходимо:</w:t>
      </w:r>
    </w:p>
    <w:p w:rsidR="28D8162F" w:rsidRPr="00C60298" w:rsidRDefault="09C8E9A6" w:rsidP="00596A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снижение налоговой нагрузки на бизнес (пересмотр кадастровой стоимости объектов недвижимости и существенное снижение фиксированной части отчислений в различные фонды); </w:t>
      </w:r>
    </w:p>
    <w:p w:rsidR="28D8162F" w:rsidRPr="00C60298" w:rsidRDefault="0F08A268" w:rsidP="00596A2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lastRenderedPageBreak/>
        <w:t>введение в законодательство понятий «Сельский туризм» и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Агротуризм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» приведут к легализации теневого бизнеса.</w:t>
      </w:r>
    </w:p>
    <w:p w:rsidR="009A3435" w:rsidRPr="00C60298" w:rsidRDefault="009A3435" w:rsidP="00596A25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435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2.3. Сельское хозяйство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аграрном секторе по виду деятельности «Сельское хозяйство» зарегистрировано 2 сельскохозяйственных предприятий, из них фактически осуществляют свою деятельность 2ед., из которых 2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сельхозорганизаций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. Также зарегистрировано 104 крестьянских (фермерских) хозяйств и индивидуальных предпринимателей (далее – КФХ), из которых фактически осуществляют деятельность 70 ед. Кроме того осуществляют деятельность 1 СПОК и 4051 личных подсобных хозяйств (далее – ЛПХ).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Объем производства сельскохозяйственной продукции в хозяйствах всех категорий на 01.01.2021 г. в фактически действовавших ценах составил 300,6 млн. руб. (на душу населения 27,4 тыс. руб.), в том числе продукция животноводства – 206,6 млн. руб., продукция растениеводства – 94,0 млн. руб. В сравнении с 01.01.2020 г. (2019 г.-321,4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уб.) наблюдается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снижение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объема производства сельскохозяйственной продукции на 20,8 млн. руб. или на 6,5 %, что связано со снижением объемов производства продукции животноводства и растениеводства.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Индекс производства сельскохозяйственной продукции в хозяйствах всех категорий составил 93,2 %, в том числе продукции животноводства — 93,9%, продукции растениеводства – 91,5%. В сравнении с аналогичным периодом предыдущего года отмечен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снижение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индекса производства сельскохозяйственной продукции в хозяйствах всех категорий на 7,3 процентных пунктов.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Растениеводство</w:t>
      </w:r>
    </w:p>
    <w:p w:rsidR="3BEE6FAD" w:rsidRPr="00C60298" w:rsidRDefault="0F08A268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Посевная площадь сельскохозяйственных культур под урожай текущего года в хозяйствах всех категорий (без учета ЛПХ) составила 2715 га. В структуре посевной площади 83 % занято многолетними травами посева прошлых лет, картофелем - 0,15%, овощами - 0,1%. </w:t>
      </w:r>
    </w:p>
    <w:p w:rsidR="3BEE6FAD" w:rsidRPr="00C60298" w:rsidRDefault="0F08A268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По состоянию на 01.01.2021 г. всеми хозяйствами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заготовлено: грубых кормов (сена однолетних и многолетних трав) - 4798 т. или 109,3 % к аналогичному периоду прошлого года, консервированных грубых кормов (сенажа) - 1520 т. или 76% к аналогичному периоду прошлого года.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Обеспеченность кормами составляет 3,7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кормовых ед. на 1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усл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гол., что составляет 67,3 % от потребности в кормах (потребность на 1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усл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гол. – 5,5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. корм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д.). Для обеспечения кормами в полном объеме закуплено грубых и концентрированных кормов -3065 т., что составило дополнительно 1,8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кормовых ед. на 1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усл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. гол.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298">
        <w:rPr>
          <w:rFonts w:ascii="Times New Roman" w:eastAsia="Times New Roman" w:hAnsi="Times New Roman"/>
          <w:sz w:val="24"/>
          <w:szCs w:val="24"/>
          <w:u w:val="single"/>
        </w:rPr>
        <w:t>Валовый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u w:val="single"/>
        </w:rPr>
        <w:t xml:space="preserve"> сбор картофеля в сельскохозяйственных организациях и КФХ, включая ИП,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увеличился</w:t>
      </w:r>
      <w:proofErr w:type="gramEnd"/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/уменьшился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66,8 % к аналогичному периоду прошлого года за счет отсутствия посевных по д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вум хозяйствам – ИП, ИП.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Средняя урожайность картофеля в сельскохозяйственных организациях и КФХ составила 484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/га.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298">
        <w:rPr>
          <w:rFonts w:ascii="Times New Roman" w:eastAsia="Times New Roman" w:hAnsi="Times New Roman"/>
          <w:sz w:val="24"/>
          <w:szCs w:val="24"/>
          <w:u w:val="single"/>
        </w:rPr>
        <w:t>Валовый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u w:val="single"/>
        </w:rPr>
        <w:t xml:space="preserve"> сбор овощей открытого грунта в сельскохозяйственных организациях и КФХ, включая ИП,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увеличились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105,6 % к аналогичному периоду прошлого года за счет увеличения объемов производства в хозяйстве ИП.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Средняя урожайность овощей открытого грунта в сельскохозяйственных организациях и КФХ составила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528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ц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/га.</w:t>
      </w:r>
    </w:p>
    <w:p w:rsidR="3BEE6FAD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Валовый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сбор картофеля и овощей открытого грунта в сельскохозяйственных организациях и КФХ на 01.01.2021 г. составил:</w:t>
      </w:r>
    </w:p>
    <w:tbl>
      <w:tblPr>
        <w:tblStyle w:val="a7"/>
        <w:tblW w:w="0" w:type="auto"/>
        <w:tblLayout w:type="fixed"/>
        <w:tblLook w:val="06A0"/>
      </w:tblPr>
      <w:tblGrid>
        <w:gridCol w:w="2336"/>
        <w:gridCol w:w="2336"/>
        <w:gridCol w:w="2336"/>
        <w:gridCol w:w="2336"/>
      </w:tblGrid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01.01.2020 г.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01.01.2021 г.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Валовый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сбор картофеля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72,6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33,2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Валовый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сбор овощей открытого грунта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79,2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105,6</w:t>
            </w:r>
          </w:p>
        </w:tc>
      </w:tr>
    </w:tbl>
    <w:p w:rsidR="3BEE6FAD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Животноводство</w:t>
      </w:r>
    </w:p>
    <w:p w:rsidR="3BEE6FAD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Поголовье скота в хозяйствах всех категорий на 01.01.2021 г. составило:</w:t>
      </w:r>
    </w:p>
    <w:tbl>
      <w:tblPr>
        <w:tblStyle w:val="a7"/>
        <w:tblW w:w="0" w:type="auto"/>
        <w:tblLayout w:type="fixed"/>
        <w:tblLook w:val="06A0"/>
      </w:tblPr>
      <w:tblGrid>
        <w:gridCol w:w="2336"/>
        <w:gridCol w:w="2336"/>
        <w:gridCol w:w="2336"/>
        <w:gridCol w:w="2336"/>
      </w:tblGrid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Поголовье</w:t>
            </w:r>
            <w:proofErr w:type="spellEnd"/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01.01.2020 г.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01.01.2021 г.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Крупный рогатый скот, гол.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3833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91,3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в т. ч. коров, гол.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97,4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       из них:</w:t>
            </w:r>
          </w:p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   молочного направления, гол.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Овцы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козы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гол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59,2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Лошади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гол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4732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3103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65,6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Свиньи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гол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Олени-маралы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гол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2451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83,1</w:t>
            </w:r>
          </w:p>
        </w:tc>
      </w:tr>
      <w:tr w:rsidR="28D8162F" w:rsidRPr="00C60298" w:rsidTr="28D8162F">
        <w:tc>
          <w:tcPr>
            <w:tcW w:w="2336" w:type="dxa"/>
          </w:tcPr>
          <w:p w:rsidR="28D8162F" w:rsidRPr="00C60298" w:rsidRDefault="28D8162F" w:rsidP="00596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Птица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гол</w:t>
            </w:r>
            <w:proofErr w:type="spellEnd"/>
            <w:r w:rsidRPr="00C6029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4565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6038</w:t>
            </w:r>
          </w:p>
        </w:tc>
        <w:tc>
          <w:tcPr>
            <w:tcW w:w="2336" w:type="dxa"/>
          </w:tcPr>
          <w:p w:rsidR="28D8162F" w:rsidRPr="00C60298" w:rsidRDefault="28D8162F" w:rsidP="00596A25">
            <w:pPr>
              <w:spacing w:after="0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132,3</w:t>
            </w:r>
          </w:p>
        </w:tc>
      </w:tr>
    </w:tbl>
    <w:p w:rsidR="3BEE6FAD" w:rsidRPr="00C60298" w:rsidRDefault="28D8162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01.01.2021 г. в хозяйствах всех категорий: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поголовье КРС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уменьшилось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8,7% к аналогичному периоду прошлого года за счет сдачи скота по всем категориям хозяйств. В количестве 300 голов. Средний вес одной головы КРС в сельскохозяйственных организациях составил 250кг. В целях увеличения поголовья КРС в хозяйствах всех категорий СМСП рекомендовано участвовать в конкурсе на получение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грантовой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поддержки.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lastRenderedPageBreak/>
        <w:t>Поголовье овец и коз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уменьшилось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40,8% к аналогичному периоду прошлого года за счет реализации овец в хозяйстве ИП Я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C60298">
        <w:rPr>
          <w:rFonts w:ascii="Times New Roman" w:eastAsia="Times New Roman" w:hAnsi="Times New Roman"/>
          <w:sz w:val="24"/>
          <w:szCs w:val="24"/>
        </w:rPr>
        <w:t>С</w:t>
      </w:r>
      <w:r w:rsidR="00F530F1">
        <w:rPr>
          <w:rFonts w:ascii="Times New Roman" w:eastAsia="Times New Roman" w:hAnsi="Times New Roman"/>
          <w:sz w:val="24"/>
          <w:szCs w:val="24"/>
        </w:rPr>
        <w:t>, Е</w:t>
      </w:r>
      <w:r w:rsidRPr="00C60298">
        <w:rPr>
          <w:rFonts w:ascii="Times New Roman" w:eastAsia="Times New Roman" w:hAnsi="Times New Roman"/>
          <w:sz w:val="24"/>
          <w:szCs w:val="24"/>
        </w:rPr>
        <w:t>, значительно пов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лияло закрытие КФХ И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численность поголовья 600 голов перешло в личное подсобное хозяйство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Шебалинского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района. В целях увеличения поголовья овец и коз в хозяйствах всех категорий проведены следующие мероприятия: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Рекомендовано КФХ, ЛПХ принять участие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грантовой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поддержке 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Агростартап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для приобретения овец.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указать проведенные мероприятия;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Поголовье лошадей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уменьшилось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34,4 % к аналогичному периоду прошлого года за счет того, что была проведена выбраковка скота во всех категориях хозяйств. Средний вес одной головы лошади в сельскохозяйственных организациях составил 350 кг. В целях увеличения поголовья лошадей в хозяйствах всех категорий проведены следующие мероприятия: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Рекомендовано КФХ, ЛПХ принять участие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грантовой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поддержке 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Агростартап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для приобретения лошадей.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Поголовье свиней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уменьшилось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85,1% к аналогичному периоду прошлого года за счет того, что цены на корма высокие население района значительно снизило поголовье.  В дальнейшем перспективы роста численности данного поголовья нет, т.к.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диспаритет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цен влияет на содержание животных.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Количество птиц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увеличилось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132,3% к аналогичному периоду прошлого года за счет того, что розничная цена на яйца повысилась население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района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активно увеличивают поголовье птиц.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Производство продуктов животноводства в хозяйствах всех категорий на 01.01.2020 г. составило: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6"/>
        <w:gridCol w:w="2336"/>
        <w:gridCol w:w="2336"/>
        <w:gridCol w:w="2336"/>
      </w:tblGrid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01.01.2020 г.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на 01.01.2021 г.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Темп роста, %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Скот и птица на убой в живом весе, тонн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970,7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113,1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Молоко, тонн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2671,3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2415,1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90,4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 в т.ч. в сельскохозяйственных организациях и крестьянских (фермерских) хозяйствах, включая индивидуальных предпринимателей, тонн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49,4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Шерсть, тонн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76,7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Козий пух, тонн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3BEE6FAD" w:rsidRPr="00C60298" w:rsidTr="00596A25"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Яйца, тыс. шт.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607,4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581,8</w:t>
            </w:r>
          </w:p>
        </w:tc>
        <w:tc>
          <w:tcPr>
            <w:tcW w:w="2336" w:type="dxa"/>
          </w:tcPr>
          <w:p w:rsidR="3BEE6FAD" w:rsidRPr="00C60298" w:rsidRDefault="3BEE6FAD" w:rsidP="00596A25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95,8</w:t>
            </w:r>
          </w:p>
        </w:tc>
      </w:tr>
    </w:tbl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01.01_.2021 г. в хозяйствах всех категорий:</w:t>
      </w:r>
    </w:p>
    <w:p w:rsidR="3BEE6FAD" w:rsidRPr="00C60298" w:rsidRDefault="0F08A26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lastRenderedPageBreak/>
        <w:t>Производство мяса на убой (в живой массе)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составило 970,7 т. Основные </w:t>
      </w:r>
      <w:r w:rsidR="00F530F1">
        <w:rPr>
          <w:rFonts w:ascii="Times New Roman" w:eastAsia="Times New Roman" w:hAnsi="Times New Roman"/>
          <w:sz w:val="24"/>
          <w:szCs w:val="24"/>
        </w:rPr>
        <w:t>производители – ИП И, Б, Т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, что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выше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года на 13,1%.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связано с выбраковкой основного стада в хозяйствах всех категорий.  Средняя убойная масса (вес туши без кожи, головы, внутренностей и нижних частей ног) одной головы КРС составила 150 кг. Убойный выход (убойная масса к живой массе) составляет 49,4%;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производство молока в хозяйствах всех категорий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составило 2415,1т. Основные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 производители – ИП Б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, что на 9,6%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ниже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уровня аналогичного периода прошлого года. С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нижение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связано со снижением поголовья коров.  Надой на одну корову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сельхозо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рганизациях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 составляет 1,3 кг.</w:t>
      </w:r>
    </w:p>
    <w:p w:rsidR="3BEE6FAD" w:rsidRPr="00C60298" w:rsidRDefault="57C88B9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Производство молока в сельскохозяйственных организациях и крестьянских (фермерских) хозяйствах, включая индивидуальных предпринимателей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, составило 93 т</w:t>
      </w:r>
      <w:r w:rsidR="00F530F1">
        <w:rPr>
          <w:rFonts w:ascii="Times New Roman" w:eastAsia="Times New Roman" w:hAnsi="Times New Roman"/>
          <w:sz w:val="24"/>
          <w:szCs w:val="24"/>
        </w:rPr>
        <w:t>.  ИП Б</w:t>
      </w:r>
      <w:r w:rsidRPr="00C60298">
        <w:rPr>
          <w:rFonts w:ascii="Times New Roman" w:eastAsia="Times New Roman" w:hAnsi="Times New Roman"/>
          <w:sz w:val="24"/>
          <w:szCs w:val="24"/>
        </w:rPr>
        <w:t>. Данное хозяйство в 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начало поставлять молоко на переработку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Чергинский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сырзавод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. Объем составил 150 т.</w:t>
      </w:r>
    </w:p>
    <w:p w:rsidR="42E087FF" w:rsidRPr="00C60298" w:rsidRDefault="4D456D65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сельхозтоваропроизводителей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на общую сумму 18,3 млн. руб. (на 01.01.2020 г. – 7,1 млн. руб.). Государственная поддержка оказана 7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сельхозтоваропроизводителям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в т.ч. 1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сельхозорганизациям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__ предприятиям переработки сельхозпродукции, 5 КФХ и ИП, 1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СПОКам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и __ ЛПХ.</w:t>
      </w:r>
    </w:p>
    <w:p w:rsidR="42E087FF" w:rsidRPr="00C60298" w:rsidRDefault="51EA18DF" w:rsidP="00596A25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Показатели 17 и 18</w:t>
      </w:r>
    </w:p>
    <w:p w:rsidR="42E087FF" w:rsidRPr="00C60298" w:rsidRDefault="51EA18DF" w:rsidP="00596A2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МО «</w:t>
      </w:r>
      <w:proofErr w:type="spellStart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район»</w:t>
      </w:r>
    </w:p>
    <w:p w:rsidR="42E087FF" w:rsidRPr="00C60298" w:rsidRDefault="42E087FF" w:rsidP="00596A25">
      <w:pPr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:rsidR="615AE88D" w:rsidRPr="00C60298" w:rsidRDefault="615AE88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Туристский поток в МО «</w:t>
      </w:r>
      <w:proofErr w:type="spellStart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район» (с учетом неорганизованных туристов)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615AE88D" w:rsidRPr="00C60298" w:rsidRDefault="615AE88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Туристский поток (с учетом неорганизованных туристов) на 01.01.2021 г. составил 674,8 тыс.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что соответствует туристическому потоку аналогично периоду прошлого года, что составило 100 % (на 01.01.2020 г. – 674,4 тыс.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615AE88D" w:rsidRPr="00C60298" w:rsidRDefault="615AE88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Численность граждан, размещенных в коллективных средствах размещения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 МО «</w:t>
      </w:r>
      <w:proofErr w:type="spellStart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район»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615AE88D" w:rsidRPr="00C60298" w:rsidRDefault="615AE88D" w:rsidP="00596A25">
      <w:pPr>
        <w:spacing w:after="0"/>
        <w:ind w:firstLine="67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Численность граждан, размещенных в коллективных средствах размещения на 01.01.2021 г. составил 94,6 тыс.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что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 xml:space="preserve">выше </w:t>
      </w:r>
      <w:r w:rsidRPr="00C60298">
        <w:rPr>
          <w:rFonts w:ascii="Times New Roman" w:eastAsia="Times New Roman" w:hAnsi="Times New Roman"/>
          <w:sz w:val="24"/>
          <w:szCs w:val="24"/>
        </w:rPr>
        <w:t>аналогичного периода прошлого года на 0,4 тыс.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или на 2 % (на 01.01.2020 г. – 92,4 тыс.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>).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sz w:val="24"/>
          <w:szCs w:val="24"/>
        </w:rPr>
        <w:t>2.4. Дорожное хозяйство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42E087FF" w:rsidRPr="00C60298" w:rsidRDefault="054DC3D3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Протяженность автомобильных дорог общего пользования местного значения на 01.01.2021 г. составила 122,4 км, в том числе с твердым покрытием 79,6 км. В сравнении с прошлым годом произошло увеличение общей протяженности автомобильных дорог на 6,8 км, или на 5,9 % (на 01.01.2020 г. - 115,6 км). </w:t>
      </w:r>
    </w:p>
    <w:p w:rsidR="42E087FF" w:rsidRPr="00C60298" w:rsidRDefault="42E087FF" w:rsidP="00596A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Доля автомобильных дорог с твердым покрытием в общей протяженности автомобильных дорог местного значения на 01.01.2021 г. составила 65,0%.   </w:t>
      </w:r>
    </w:p>
    <w:p w:rsidR="42E087FF" w:rsidRPr="00C60298" w:rsidRDefault="73903169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В сравнении с планом на 01.01.2021 г. отмечено отклонение доли автомобильных дорог местного значения в общей протяженности автомобильных дорог местного значения на (+) 4,5 процентных пункта. На момент заключения соглашения п</w:t>
      </w:r>
      <w:r w:rsidR="00C60298">
        <w:rPr>
          <w:rFonts w:ascii="Times New Roman" w:eastAsia="Times New Roman" w:hAnsi="Times New Roman"/>
          <w:sz w:val="24"/>
          <w:szCs w:val="24"/>
        </w:rPr>
        <w:t xml:space="preserve">оказатель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был некорректно рассчитан. </w:t>
      </w:r>
    </w:p>
    <w:p w:rsidR="42E087FF" w:rsidRPr="00C60298" w:rsidRDefault="73903169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lastRenderedPageBreak/>
        <w:t xml:space="preserve">В 2020 г. протяженности дорог местного значения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в общей протяженности дорог местного значения Республики Алтай составляла 4,2%, т.е. на 0,2 % больше аналогичного периода 2019 г. (2019 г. -</w:t>
      </w:r>
      <w:r w:rsidR="00C60298">
        <w:rPr>
          <w:rFonts w:ascii="Times New Roman" w:eastAsia="Times New Roman" w:hAnsi="Times New Roman"/>
          <w:sz w:val="24"/>
          <w:szCs w:val="24"/>
        </w:rPr>
        <w:t xml:space="preserve"> 4,0 %). Увеличение произошло в следствии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увеличения протяженности дорог местного значения по Республики Алтай в целом, в связи с расширением границ населенных пунктов в районах Республики Алтай.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435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60298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C60298">
        <w:rPr>
          <w:rFonts w:ascii="Times New Roman" w:hAnsi="Times New Roman"/>
          <w:b/>
          <w:bCs/>
          <w:sz w:val="24"/>
          <w:szCs w:val="24"/>
        </w:rPr>
        <w:t>. Инвестиционная привлекательность</w:t>
      </w:r>
    </w:p>
    <w:p w:rsidR="009A3435" w:rsidRPr="00C60298" w:rsidRDefault="317BCCA1" w:rsidP="00596A2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3.1. Инвестиции в основной капитал</w:t>
      </w:r>
    </w:p>
    <w:p w:rsidR="009A3435" w:rsidRPr="00C60298" w:rsidRDefault="317BCCA1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объем инвестиций в основной капитал на 01.01.2021 г. составил:</w:t>
      </w:r>
    </w:p>
    <w:p w:rsidR="009A3435" w:rsidRPr="00C60298" w:rsidRDefault="28D8162F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по организациям, не относящимся к субъектам малого предпринимательства (крупные и средние организации) - 277,24 млн. руб. (ИФО 28,1 % к 01.01.2020 г. в сопоставимых ценах). Из них инвестиции в основной капитал:</w:t>
      </w:r>
    </w:p>
    <w:p w:rsidR="009A3435" w:rsidRPr="00C60298" w:rsidRDefault="317BCCA1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- за счет бюджетных средств - 183,48 млн. руб. (темп роста 359,8% к 01.01.2020 г. в текущих ценах),</w:t>
      </w:r>
    </w:p>
    <w:p w:rsidR="009A3435" w:rsidRPr="00C60298" w:rsidRDefault="28D8162F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- за счет внебюджетных источников - 93,76 млн. руб. (темп роста 10,9 % к 01.01.2020 г. в текущих ценах), на душу населения - 8,6 тыс. руб. (в 10 раз меньше, чем в 2019 г.).</w:t>
      </w:r>
    </w:p>
    <w:p w:rsidR="009A3435" w:rsidRPr="00C60298" w:rsidRDefault="42E087FF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сравнении с планом на 01.01.2021 г. отмечено отклонение ИФО инвестиций в основной капитал (за исключением бюджетных) на (-) 74,9 процентных пункта.</w:t>
      </w:r>
    </w:p>
    <w:p w:rsidR="009A3435" w:rsidRPr="00C60298" w:rsidRDefault="42E087FF" w:rsidP="00596A25">
      <w:pPr>
        <w:spacing w:after="0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Причина отклонения от планового значения связана с тем, что </w:t>
      </w:r>
      <w:r w:rsidRPr="00C60298">
        <w:rPr>
          <w:rFonts w:ascii="Times New Roman" w:eastAsia="Times New Roman" w:hAnsi="Times New Roman"/>
          <w:sz w:val="24"/>
          <w:szCs w:val="24"/>
        </w:rPr>
        <w:t>в 2019 г. выполнялось строител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ьство </w:t>
      </w:r>
      <w:proofErr w:type="spellStart"/>
      <w:r w:rsidR="00F530F1">
        <w:rPr>
          <w:rFonts w:ascii="Times New Roman" w:eastAsia="Times New Roman" w:hAnsi="Times New Roman"/>
          <w:sz w:val="24"/>
          <w:szCs w:val="24"/>
        </w:rPr>
        <w:t>Чемальской</w:t>
      </w:r>
      <w:proofErr w:type="spellEnd"/>
      <w:r w:rsidR="00F530F1">
        <w:rPr>
          <w:rFonts w:ascii="Times New Roman" w:eastAsia="Times New Roman" w:hAnsi="Times New Roman"/>
          <w:sz w:val="24"/>
          <w:szCs w:val="24"/>
        </w:rPr>
        <w:t xml:space="preserve"> СЭС (ООО «Х</w:t>
      </w:r>
      <w:r w:rsidRPr="00C60298">
        <w:rPr>
          <w:rFonts w:ascii="Times New Roman" w:eastAsia="Times New Roman" w:hAnsi="Times New Roman"/>
          <w:sz w:val="24"/>
          <w:szCs w:val="24"/>
        </w:rPr>
        <w:t>») по итогам г. составили 860,6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уб.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Динамика инвестиций в основной капитал (накопленным итогом, база 2015 г.) представлена на рис. 1. Как видно, за период 2015-2020 гг. темпы роста инвестиций </w:t>
      </w:r>
      <w:r w:rsidRPr="00C60298">
        <w:rPr>
          <w:rFonts w:ascii="Times New Roman" w:eastAsia="Times New Roman" w:hAnsi="Times New Roman"/>
          <w:sz w:val="24"/>
          <w:szCs w:val="24"/>
        </w:rPr>
        <w:t>колеблются, так с 2015 г. по 2017 г. наблюдается снижение, а с 2018 г. по 2019 г. заметный рост, в 2020 г. снова снижение.</w:t>
      </w:r>
      <w:r w:rsidRPr="00C60298">
        <w:rPr>
          <w:rFonts w:ascii="Times New Roman" w:hAnsi="Times New Roman"/>
          <w:sz w:val="24"/>
          <w:szCs w:val="24"/>
        </w:rPr>
        <w:t xml:space="preserve"> Объём инвестиций в основной капитал в 2020 г</w:t>
      </w:r>
      <w:r w:rsidR="00C14DC5" w:rsidRPr="00C60298">
        <w:rPr>
          <w:rFonts w:ascii="Times New Roman" w:hAnsi="Times New Roman"/>
          <w:sz w:val="24"/>
          <w:szCs w:val="24"/>
        </w:rPr>
        <w:t>.</w:t>
      </w:r>
      <w:r w:rsidRPr="00C60298">
        <w:rPr>
          <w:rFonts w:ascii="Times New Roman" w:hAnsi="Times New Roman"/>
          <w:sz w:val="24"/>
          <w:szCs w:val="24"/>
        </w:rPr>
        <w:t xml:space="preserve"> в сопоставимых ценах составил 43,4% от уровня 2015 г. Наиболее значительный рост происходил в 2019гг.,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в этот период строилась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Чемальская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СЭС</w:t>
      </w:r>
      <w:r w:rsidRPr="00C60298">
        <w:rPr>
          <w:rFonts w:ascii="Times New Roman" w:hAnsi="Times New Roman"/>
          <w:sz w:val="24"/>
          <w:szCs w:val="24"/>
        </w:rPr>
        <w:t xml:space="preserve">.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Объем инвестиций в основной капитал (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крупным и средним)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за 2015-2020 г., млн. руб.</w:t>
      </w:r>
    </w:p>
    <w:p w:rsidR="42E087FF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77892" cy="2370125"/>
            <wp:effectExtent l="19050" t="0" r="13208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A3435" w:rsidRPr="00C60298" w:rsidRDefault="42E087FF" w:rsidP="00596A25">
      <w:pPr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Pr="00C60298">
        <w:rPr>
          <w:rFonts w:ascii="Times New Roman" w:hAnsi="Times New Roman"/>
          <w:sz w:val="24"/>
          <w:szCs w:val="24"/>
        </w:rPr>
        <w:t>(Рис.1)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lastRenderedPageBreak/>
        <w:t xml:space="preserve">Причинами </w:t>
      </w:r>
      <w:r w:rsidRPr="00C60298">
        <w:rPr>
          <w:rFonts w:ascii="Times New Roman" w:hAnsi="Times New Roman"/>
          <w:i/>
          <w:iCs/>
          <w:sz w:val="24"/>
          <w:szCs w:val="24"/>
        </w:rPr>
        <w:t xml:space="preserve">увеличения </w:t>
      </w:r>
      <w:r w:rsidRPr="00C60298">
        <w:rPr>
          <w:rFonts w:ascii="Times New Roman" w:hAnsi="Times New Roman"/>
          <w:sz w:val="24"/>
          <w:szCs w:val="24"/>
        </w:rPr>
        <w:t xml:space="preserve">бюджетных инвестиций являются </w:t>
      </w:r>
      <w:r w:rsidRPr="00C60298">
        <w:rPr>
          <w:rFonts w:ascii="Times New Roman" w:eastAsia="Times New Roman" w:hAnsi="Times New Roman"/>
          <w:sz w:val="24"/>
          <w:szCs w:val="24"/>
        </w:rPr>
        <w:t>(на 01.01.2021г. –183,48 млн. руб., на 01.01.2020 г. – 51,0 млн. руб., темп роста – 359,8 %):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60298">
        <w:rPr>
          <w:rFonts w:ascii="Times New Roman" w:eastAsia="Times New Roman" w:hAnsi="Times New Roman"/>
          <w:sz w:val="24"/>
          <w:szCs w:val="24"/>
          <w:u w:val="single"/>
        </w:rPr>
        <w:t>образование: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Строительство детского сада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с. Чемал на 125 мест.</w:t>
      </w:r>
    </w:p>
    <w:p w:rsidR="42E087FF" w:rsidRPr="00C60298" w:rsidRDefault="28D8162F" w:rsidP="00596A2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Причинами </w:t>
      </w:r>
      <w:r w:rsidRPr="00C60298">
        <w:rPr>
          <w:rFonts w:ascii="Times New Roman" w:hAnsi="Times New Roman"/>
          <w:i/>
          <w:iCs/>
          <w:sz w:val="24"/>
          <w:szCs w:val="24"/>
        </w:rPr>
        <w:t xml:space="preserve">снижения </w:t>
      </w:r>
      <w:r w:rsidRPr="00C60298">
        <w:rPr>
          <w:rFonts w:ascii="Times New Roman" w:hAnsi="Times New Roman"/>
          <w:sz w:val="24"/>
          <w:szCs w:val="24"/>
        </w:rPr>
        <w:t xml:space="preserve">внебюджетных инвестиций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на 89,6% является (на 01.01.2021 г. – 93,76 млн. руб., на 01.01.2020г. – 901,66 млн. руб.): </w:t>
      </w:r>
    </w:p>
    <w:p w:rsidR="42E087FF" w:rsidRPr="00C60298" w:rsidRDefault="28D8162F" w:rsidP="00F530F1">
      <w:pPr>
        <w:pStyle w:val="a6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в 2019 г. выполнялось строител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ьство </w:t>
      </w:r>
      <w:proofErr w:type="spellStart"/>
      <w:r w:rsidR="00F530F1">
        <w:rPr>
          <w:rFonts w:ascii="Times New Roman" w:eastAsia="Times New Roman" w:hAnsi="Times New Roman"/>
          <w:sz w:val="24"/>
          <w:szCs w:val="24"/>
        </w:rPr>
        <w:t>Чемальской</w:t>
      </w:r>
      <w:proofErr w:type="spellEnd"/>
      <w:r w:rsidR="00F530F1">
        <w:rPr>
          <w:rFonts w:ascii="Times New Roman" w:eastAsia="Times New Roman" w:hAnsi="Times New Roman"/>
          <w:sz w:val="24"/>
          <w:szCs w:val="24"/>
        </w:rPr>
        <w:t xml:space="preserve"> СЭС (ООО «Х») по итогам г. </w:t>
      </w:r>
      <w:r w:rsidRPr="00C60298">
        <w:rPr>
          <w:rFonts w:ascii="Times New Roman" w:eastAsia="Times New Roman" w:hAnsi="Times New Roman"/>
          <w:sz w:val="24"/>
          <w:szCs w:val="24"/>
        </w:rPr>
        <w:t>составили 860,6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уб.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01.01.2021 г. реализовывались следующие крупные инвестиционные проекты: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бюджетные: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строительство наружных сетей водоснабжения микрорайон «Аэродром»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. Чемал (ГП АПК - 13,09 млн. руб.);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строительство детского сада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. Чемал, ул. Энтузиастов 28А на 125 мест (83,2 млн. руб.).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частные: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технологические присоединение и строительство линий электропередач МРСК - общая сумма по итогам 2020 г. составила 47,853 млн. руб., </w:t>
      </w:r>
    </w:p>
    <w:p w:rsidR="42E087FF" w:rsidRPr="00C60298" w:rsidRDefault="28D8162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строительство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СЭС (ООО «Х») инвестиции по итогам 2020 г. составили 33,0 млн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уб.</w:t>
      </w:r>
    </w:p>
    <w:p w:rsidR="00F530F1" w:rsidRDefault="42E087FF" w:rsidP="00F530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  </w:t>
      </w:r>
      <w:r w:rsidR="00F530F1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C60298">
        <w:rPr>
          <w:rFonts w:ascii="Times New Roman" w:eastAsia="Times New Roman" w:hAnsi="Times New Roman"/>
          <w:sz w:val="24"/>
          <w:szCs w:val="24"/>
        </w:rPr>
        <w:t>Реализуются следующие инвестиционные проекты, ставшие победителями и дипломантами в Ярмарке инвестиционных проектов Республики Алтай в 2016-2019 гг.: Строительство убойного пункта ИП Глава КФХ Д</w:t>
      </w:r>
      <w:r w:rsidR="00F530F1"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sz w:val="24"/>
          <w:szCs w:val="24"/>
        </w:rPr>
        <w:t>-2016 г.</w:t>
      </w:r>
    </w:p>
    <w:p w:rsidR="42E087FF" w:rsidRPr="00C60298" w:rsidRDefault="42E087FF" w:rsidP="00F530F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Инвестиционном портале Республики Алтай для поиска инвесторов размещены следующие инвестиционные проекты и площадки: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Перечень инвестиционных проектов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район»: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Частные: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1) Развлекательный комплекс «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Рублевка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», с.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Анос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2) Организация производства товарного бетона марок М-100 – М-300 для строительного рынка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района, с. Элекмонар.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Перечень инвестиционных площадок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район»: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Частные: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1) Земельный участок, находящийся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районе, урочище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Ниж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Кушкула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расположенного в границах участка, 5,3 га. Земли сельскохозяйственного назначения;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2) Земельный участок, находящийся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районе, урочище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Ниж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Кушкула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, расположенного в границах участка, 6,9 га. Земли сельскохозяйственного назначения;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3) Земельный участок, находящийся к югу от поселка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Толгоек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района, 37,0 га. Земли сельскохозяйственного назначения;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4) Земельный участок, находящийся к югу от поселка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Толгоек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района, урочище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Кудюр-Сош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137,3 га. Земли сельскохозяйственного назначения;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5) Земельный участок, находящийся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районе, урочище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Эльбех-Пель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, расположенного в границах участка, 3,4 га. Земли сельскохозяйственного назначения; 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6) Земельный участок, находящийся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Чемальском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районе, в районе лога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Айры-Дьарык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расположенного в границах участок, 1,7 га Земли сельскохозяйственного назначения.</w:t>
      </w:r>
    </w:p>
    <w:p w:rsidR="009A3435" w:rsidRPr="00C60298" w:rsidRDefault="42E087FF" w:rsidP="00596A25">
      <w:pPr>
        <w:spacing w:after="0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В 2021 г. также планируются к реализации крупные инвестиционные проекты:</w:t>
      </w:r>
    </w:p>
    <w:p w:rsidR="009A3435" w:rsidRPr="00C60298" w:rsidRDefault="42E087FF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бюджетные: реконструкция мостового перехода через р. </w:t>
      </w:r>
      <w:proofErr w:type="spellStart"/>
      <w:r w:rsidRPr="00C60298">
        <w:rPr>
          <w:rFonts w:ascii="Times New Roman" w:hAnsi="Times New Roman"/>
          <w:sz w:val="24"/>
          <w:szCs w:val="24"/>
        </w:rPr>
        <w:t>Анос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(ПИР) (3,5 млн</w:t>
      </w:r>
      <w:proofErr w:type="gramStart"/>
      <w:r w:rsidRPr="00C60298">
        <w:rPr>
          <w:rFonts w:ascii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hAnsi="Times New Roman"/>
          <w:sz w:val="24"/>
          <w:szCs w:val="24"/>
        </w:rPr>
        <w:t>уб.);</w:t>
      </w:r>
    </w:p>
    <w:p w:rsidR="42E087FF" w:rsidRPr="00C60298" w:rsidRDefault="00C6029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42E087FF" w:rsidRPr="00C60298">
        <w:rPr>
          <w:rFonts w:ascii="Times New Roman" w:hAnsi="Times New Roman"/>
          <w:sz w:val="24"/>
          <w:szCs w:val="24"/>
        </w:rPr>
        <w:t>троительство автомобильной дороги «</w:t>
      </w:r>
      <w:proofErr w:type="spellStart"/>
      <w:r w:rsidR="42E087FF" w:rsidRPr="00C60298">
        <w:rPr>
          <w:rFonts w:ascii="Times New Roman" w:hAnsi="Times New Roman"/>
          <w:sz w:val="24"/>
          <w:szCs w:val="24"/>
        </w:rPr>
        <w:t>Урлу-</w:t>
      </w:r>
      <w:r>
        <w:rPr>
          <w:rFonts w:ascii="Times New Roman" w:hAnsi="Times New Roman"/>
          <w:sz w:val="24"/>
          <w:szCs w:val="24"/>
        </w:rPr>
        <w:t>Аспак</w:t>
      </w:r>
      <w:proofErr w:type="spellEnd"/>
      <w:r>
        <w:rPr>
          <w:rFonts w:ascii="Times New Roman" w:hAnsi="Times New Roman"/>
          <w:sz w:val="24"/>
          <w:szCs w:val="24"/>
        </w:rPr>
        <w:t xml:space="preserve"> - Каракол» (3,0 млн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уб.).</w:t>
      </w:r>
    </w:p>
    <w:p w:rsidR="42E087FF" w:rsidRPr="00C60298" w:rsidRDefault="42E087F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42E087FF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частные: ПАО МРСК Сибири (147,0 млн</w:t>
      </w:r>
      <w:proofErr w:type="gramStart"/>
      <w:r w:rsidRPr="00C60298">
        <w:rPr>
          <w:rFonts w:ascii="Times New Roman" w:hAnsi="Times New Roman"/>
          <w:sz w:val="24"/>
          <w:szCs w:val="24"/>
        </w:rPr>
        <w:t>.р</w:t>
      </w:r>
      <w:proofErr w:type="gramEnd"/>
      <w:r w:rsidRPr="00C60298">
        <w:rPr>
          <w:rFonts w:ascii="Times New Roman" w:hAnsi="Times New Roman"/>
          <w:sz w:val="24"/>
          <w:szCs w:val="24"/>
        </w:rPr>
        <w:t>уб.).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60298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C60298">
        <w:rPr>
          <w:rFonts w:ascii="Times New Roman" w:hAnsi="Times New Roman"/>
          <w:b/>
          <w:bCs/>
          <w:sz w:val="24"/>
          <w:szCs w:val="24"/>
        </w:rPr>
        <w:t>. Уровень и качество жизни</w:t>
      </w:r>
    </w:p>
    <w:p w:rsidR="009A3435" w:rsidRPr="00C60298" w:rsidRDefault="2C6C75CE" w:rsidP="00596A2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4.1. Безработица и неформальная занятость</w:t>
      </w:r>
    </w:p>
    <w:p w:rsidR="2C6C75CE" w:rsidRPr="00C60298" w:rsidRDefault="0F08A268" w:rsidP="00596A25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Уровень регистрируемой безработицы на 31.12.2020 г.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увеличился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в 3,7 раза и составил 9,33% (на 31.12.2019г.- 2,52 %). </w:t>
      </w:r>
    </w:p>
    <w:p w:rsidR="2C6C75CE" w:rsidRPr="00C60298" w:rsidRDefault="0F08A268" w:rsidP="00596A25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 xml:space="preserve">Увеличение </w:t>
      </w:r>
      <w:r w:rsidRPr="00C60298">
        <w:rPr>
          <w:rFonts w:ascii="Times New Roman" w:eastAsia="Times New Roman" w:hAnsi="Times New Roman"/>
          <w:sz w:val="24"/>
          <w:szCs w:val="24"/>
        </w:rPr>
        <w:t>уровня безработицы обусловлено увеличением 2,1 раза численности граждан, обратившихся в поисках работы.</w:t>
      </w:r>
    </w:p>
    <w:p w:rsidR="2C6C75CE" w:rsidRPr="00C60298" w:rsidRDefault="0F08A268" w:rsidP="00596A25">
      <w:pPr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В Центр занятости населения в 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обратилось в поиске работы 908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(в 2019г.  обратилось 427 чел.), из них 198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трудоустроено.  </w:t>
      </w:r>
    </w:p>
    <w:p w:rsidR="009A3435" w:rsidRPr="00C60298" w:rsidRDefault="0F08A268" w:rsidP="00596A2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регистрируемой безработицы по данным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КУ РА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занятости населения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района», на 01.01.2021 г. </w:t>
      </w:r>
      <w:r w:rsidRPr="00C602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увеличился</w:t>
      </w: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в 2,1 раза и составил 9,33 % (на 01.01.2020 г. - 2,52 %). </w:t>
      </w:r>
    </w:p>
    <w:p w:rsidR="009A3435" w:rsidRPr="00C60298" w:rsidRDefault="0F08A268" w:rsidP="00596A25">
      <w:pPr>
        <w:widowControl w:val="0"/>
        <w:autoSpaceDE w:val="0"/>
        <w:spacing w:after="0"/>
        <w:ind w:firstLine="348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Увеличение</w:t>
      </w: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безработицы обусловлено </w:t>
      </w:r>
      <w:r w:rsidRPr="00C60298">
        <w:rPr>
          <w:rFonts w:ascii="Times New Roman" w:eastAsia="Times New Roman" w:hAnsi="Times New Roman"/>
          <w:sz w:val="24"/>
          <w:szCs w:val="24"/>
        </w:rPr>
        <w:t>увеличением в 2,1 раза численности граждан, обратившихся в поисках работы.</w:t>
      </w:r>
    </w:p>
    <w:p w:rsidR="009A3435" w:rsidRPr="00C60298" w:rsidRDefault="0F08A268" w:rsidP="00596A2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01.01.2021 г. в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КУ РА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«Центр занятости населения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 в целях поиска работы обратилось 908 чел. (в 2019 г. - 427 чел.), из них 198 чел. трудоустроено. </w:t>
      </w:r>
    </w:p>
    <w:p w:rsidR="009A3435" w:rsidRPr="00C60298" w:rsidRDefault="0F08A268" w:rsidP="00596A25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В сравнении с плановым показателем на 01.01.2021 г. отклонение уровня регистрируемой безработицы составило (+) 3,33 процентных пункта. </w:t>
      </w:r>
    </w:p>
    <w:p w:rsidR="009A3435" w:rsidRPr="00C60298" w:rsidRDefault="0F08A268" w:rsidP="00596A25">
      <w:pPr>
        <w:spacing w:after="0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Причина отклонения от планового значения связана с увеличением численности граждан, обратившихся в поисках работы. </w:t>
      </w:r>
    </w:p>
    <w:p w:rsidR="009A3435" w:rsidRPr="00C60298" w:rsidRDefault="009A3435" w:rsidP="00596A25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35" w:rsidRPr="00C60298" w:rsidRDefault="0F08A268" w:rsidP="00596A2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4.2. Жилищное строительство</w:t>
      </w:r>
    </w:p>
    <w:p w:rsidR="009A3435" w:rsidRPr="00C60298" w:rsidRDefault="0F08A268" w:rsidP="00596A2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>На 01.01.2021 г. введено общей площади жилых помещений 8574 кв. м (113 зданий), в том числе индивидуальное жилищное строительство 8271 кв. м (112 зданий). Юридическими лицами за отчетный год ввод в эксплуатацию помещений не производился. Плановый показатель ввода жилья по МО «</w:t>
      </w:r>
      <w:proofErr w:type="spellStart"/>
      <w:r w:rsidRPr="00C60298">
        <w:rPr>
          <w:rFonts w:ascii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z w:val="24"/>
          <w:szCs w:val="24"/>
        </w:rPr>
        <w:t xml:space="preserve"> район» на 2020 г. составляет 7452,6 кв. м, таким образом, процент выполнения плана, утвержденного Министерством регионального развития РА на 2020 г</w:t>
      </w:r>
      <w:r w:rsidR="00C14DC5" w:rsidRPr="00C60298">
        <w:rPr>
          <w:rFonts w:ascii="Times New Roman" w:hAnsi="Times New Roman"/>
          <w:sz w:val="24"/>
          <w:szCs w:val="24"/>
        </w:rPr>
        <w:t>.</w:t>
      </w:r>
      <w:r w:rsidRPr="00C60298">
        <w:rPr>
          <w:rFonts w:ascii="Times New Roman" w:hAnsi="Times New Roman"/>
          <w:sz w:val="24"/>
          <w:szCs w:val="24"/>
        </w:rPr>
        <w:t xml:space="preserve">, составляет 111,0%. </w:t>
      </w:r>
    </w:p>
    <w:p w:rsidR="009A3435" w:rsidRPr="00C60298" w:rsidRDefault="0F08A268" w:rsidP="00596A2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В сравнении с аналогичным периодом прошлого года наблюдается </w:t>
      </w:r>
      <w:r w:rsidRPr="00C60298">
        <w:rPr>
          <w:rFonts w:ascii="Times New Roman" w:hAnsi="Times New Roman"/>
          <w:i/>
          <w:iCs/>
          <w:sz w:val="24"/>
          <w:szCs w:val="24"/>
        </w:rPr>
        <w:t>снижение</w:t>
      </w:r>
      <w:r w:rsidRPr="00C60298">
        <w:rPr>
          <w:rFonts w:ascii="Times New Roman" w:hAnsi="Times New Roman"/>
          <w:sz w:val="24"/>
          <w:szCs w:val="24"/>
        </w:rPr>
        <w:t xml:space="preserve"> объема ввода жилых помещений на 787 кв.м. или на 8,4%:</w:t>
      </w:r>
    </w:p>
    <w:p w:rsidR="009A3435" w:rsidRPr="00C60298" w:rsidRDefault="009A3435" w:rsidP="00596A2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3" w:type="dxa"/>
        <w:tblInd w:w="-113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insideH w:val="single" w:sz="4" w:space="0" w:color="F79646" w:themeColor="accent6"/>
        </w:tblBorders>
        <w:tblLook w:val="04A0"/>
      </w:tblPr>
      <w:tblGrid>
        <w:gridCol w:w="2376"/>
        <w:gridCol w:w="1985"/>
        <w:gridCol w:w="1984"/>
        <w:gridCol w:w="1568"/>
        <w:gridCol w:w="1440"/>
      </w:tblGrid>
      <w:tr w:rsidR="009A3435" w:rsidRPr="00C60298" w:rsidTr="0F08A268">
        <w:trPr>
          <w:trHeight w:val="64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9A3435" w:rsidP="00596A25">
            <w:pPr>
              <w:widowControl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на 01.01.2020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на 01.01.2021 г.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Отклонение, кв. м / 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9A3435" w:rsidRPr="00C60298" w:rsidTr="0F08A2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Введено всего: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9361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8574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-787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91,6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99,1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</w:tr>
      <w:tr w:rsidR="009A3435" w:rsidRPr="00C60298" w:rsidTr="0F08A2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C60298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  <w:p w:rsidR="009A3435" w:rsidRPr="00C60298" w:rsidRDefault="0F08A268" w:rsidP="00596A2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C60298">
              <w:rPr>
                <w:rFonts w:ascii="Times New Roman" w:hAnsi="Times New Roman"/>
                <w:sz w:val="24"/>
                <w:szCs w:val="24"/>
              </w:rPr>
              <w:t>индивидуальное жилищное строительство: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кв. м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9212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113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8271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-941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89,8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lastRenderedPageBreak/>
              <w:t>99,1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35" w:rsidRPr="00C60298" w:rsidTr="0F08A2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</w:t>
            </w:r>
            <w:r w:rsidRPr="00C60298">
              <w:rPr>
                <w:rFonts w:ascii="Times New Roman" w:hAnsi="Times New Roman"/>
                <w:sz w:val="24"/>
                <w:szCs w:val="24"/>
              </w:rPr>
              <w:t>введено юридическими лицами: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кв. м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зданий</w:t>
            </w:r>
          </w:p>
          <w:p w:rsidR="009A3435" w:rsidRPr="00C60298" w:rsidRDefault="0F08A268" w:rsidP="00596A25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149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-149</w:t>
            </w: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09A3435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-1</w:t>
            </w:r>
          </w:p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2C6C75CE" w:rsidRPr="00C60298" w:rsidTr="0F08A26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2C6C75CE" w:rsidRPr="00C60298" w:rsidRDefault="0F08A268" w:rsidP="00596A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ИЖС, </w:t>
            </w:r>
            <w:proofErr w:type="gramStart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осуществляемое</w:t>
            </w:r>
            <w:proofErr w:type="gramEnd"/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населением на земельных участках, предназначенных для ведения садоводства:</w:t>
            </w:r>
          </w:p>
          <w:p w:rsidR="2C6C75CE" w:rsidRPr="00C60298" w:rsidRDefault="0F08A268" w:rsidP="00596A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кв.м. зданий</w:t>
            </w:r>
          </w:p>
          <w:p w:rsidR="2C6C75CE" w:rsidRPr="00C60298" w:rsidRDefault="0F08A268" w:rsidP="00596A2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>квартир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5B0AE120" w:rsidRPr="00C60298" w:rsidRDefault="5B0AE120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303</w:t>
            </w: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2C6C75CE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5B0AE120" w:rsidRPr="00C60298" w:rsidRDefault="5B0AE120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2C6C75CE" w:rsidRPr="00C60298" w:rsidRDefault="0F08A268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3435" w:rsidRPr="00C60298" w:rsidRDefault="009A3435" w:rsidP="00596A2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0F08A268" w:rsidP="00596A25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Причинами </w:t>
      </w:r>
      <w:r w:rsidRPr="00C60298">
        <w:rPr>
          <w:rFonts w:ascii="Times New Roman" w:hAnsi="Times New Roman"/>
          <w:i/>
          <w:iCs/>
          <w:sz w:val="24"/>
          <w:szCs w:val="24"/>
        </w:rPr>
        <w:t>уменьшения</w:t>
      </w:r>
      <w:r w:rsidRPr="00C60298">
        <w:rPr>
          <w:rFonts w:ascii="Times New Roman" w:hAnsi="Times New Roman"/>
          <w:sz w:val="24"/>
          <w:szCs w:val="24"/>
        </w:rPr>
        <w:t xml:space="preserve"> объемов ввода </w:t>
      </w:r>
      <w:proofErr w:type="gramStart"/>
      <w:r w:rsidRPr="00C60298">
        <w:rPr>
          <w:rFonts w:ascii="Times New Roman" w:hAnsi="Times New Roman"/>
          <w:sz w:val="24"/>
          <w:szCs w:val="24"/>
        </w:rPr>
        <w:t xml:space="preserve">является </w:t>
      </w:r>
      <w:r w:rsidRPr="00C60298">
        <w:rPr>
          <w:rFonts w:ascii="Times New Roman" w:eastAsia="Times New Roman" w:hAnsi="Times New Roman"/>
          <w:sz w:val="24"/>
          <w:szCs w:val="24"/>
        </w:rPr>
        <w:t>уменьшение объемов ввода является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уменьшение количества вводимых зданий в связи с внесением изменений в Градостроительный кодекс Российской Федерации (август 2018 г.) в части уведомлений о начале планируемого строительства и окончание строительства.</w:t>
      </w:r>
    </w:p>
    <w:p w:rsidR="009A3435" w:rsidRPr="00C60298" w:rsidRDefault="0F08A268" w:rsidP="00596A25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На 01.01.2021 г. по причине аварийности снесено 0 кв. м. жилых помещений. </w:t>
      </w:r>
    </w:p>
    <w:p w:rsidR="5B0AE120" w:rsidRPr="00C60298" w:rsidRDefault="7A766B8F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Жилой фонд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на отчетный период представлен многоквартирными домами в количестве 444 ед. (из них многоквартирные дома блокированной застройки - 430 ед.), жилой площадью 55 тыс. кв. м и индивидуальными домами в количестве 3450 ед. жилой площадью 252,6 тыс. кв.м.</w:t>
      </w:r>
    </w:p>
    <w:p w:rsidR="5B0AE120" w:rsidRPr="00C60298" w:rsidRDefault="7A766B8F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целях увеличения объема ввода жилых помещений и достижения плановых значений целевого показателя в 2020 г. проведены и планируются к реализации следующие мероприятия: проведение инвентаризации жилых помещений (жилых домов) с целью выявления, не стоящих на кадастровом учете. Принятия мер понуждения по регистрации завершенных строительством жилых домов, ранее не зарегистрированных по результатам инвентаризации.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 xml:space="preserve">А также на территории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 с 01.07.2020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действует индивидуальная программа социально-экономического развития Республики Алтай на 2020-2024 г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>, утвержденная распоряжением Правительства Российской Федерации от 9 апреля 2020 г. № 937-р, Министерством регионального развития Республики Алтай разработан порядок, в рамках которого предоставляется субсидия на выполнение кадастровых работ по постановке на кадастровый учет индивидуальных жилых домов.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Собственник индивидуального жилого дома оплачивает 40% от стоимости кадастровых работ, а оставшиеся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60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>% но не более 6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 тыс.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руб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будут предоставлены  Министерством регионального развития Республики Алтай в виде субсидии на возмещение недополученных доходов, связанных с выполнением работ по постановке на </w:t>
      </w:r>
      <w:r w:rsidRPr="00C60298">
        <w:rPr>
          <w:rFonts w:ascii="Times New Roman" w:eastAsia="Times New Roman" w:hAnsi="Times New Roman"/>
          <w:sz w:val="24"/>
          <w:szCs w:val="24"/>
        </w:rPr>
        <w:lastRenderedPageBreak/>
        <w:t xml:space="preserve">кадастровый учет индивидуальных жилых домов подрядной организацией (юридическое лицо, индивидуальный предприниматель осуществляющих деятельность в сфере выполнения кадастровых работ и зарегистрированных на территории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района, прошедшие конкурсный отбор и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>одобренных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министерством, а именно: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 xml:space="preserve">ИП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Тоорчуков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А.А., ООО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СТиК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» и ООО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Эдгор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»).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 Проводится мониторинг земельных участков, предоставленных для жилищного строительства на праве аренды, не используемых по назначению. Принимаются меры по изъятию земельных участков, предоставленных в аренду на основании отсутствия построенного и введенного в эксплуатацию объекта жилищного строительства в связи с окончанием срока аренды. Размещение на официальном сайте сведений о земельных участках, предназначенных для предоставления в аренду для индивидуального жилищного строительства. Проведение межевания земельных участков в целях предоставления или продажи их гражданам. Разработка и утверждение ПСД на объекты инженерной инфраструктуры к создаваемым земельным участкам (дороги, водопроводные сети, объекты электроснабжения). Предоставление земельных участков под жилищное строительство, изъятых у предыдущих арендаторов.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9A3435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b/>
          <w:bCs/>
          <w:spacing w:val="2"/>
          <w:sz w:val="24"/>
          <w:szCs w:val="24"/>
        </w:rPr>
      </w:pPr>
      <w:r w:rsidRPr="00C60298">
        <w:rPr>
          <w:rFonts w:ascii="Times New Roman" w:hAnsi="Times New Roman"/>
          <w:b/>
          <w:bCs/>
          <w:spacing w:val="2"/>
          <w:sz w:val="24"/>
          <w:szCs w:val="24"/>
        </w:rPr>
        <w:t>4.3. Демографические показатели</w:t>
      </w:r>
    </w:p>
    <w:p w:rsidR="009A3435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C60298">
        <w:rPr>
          <w:rFonts w:ascii="Times New Roman" w:hAnsi="Times New Roman"/>
          <w:spacing w:val="2"/>
          <w:sz w:val="24"/>
          <w:szCs w:val="24"/>
        </w:rPr>
        <w:t>На 01.01.2021 г. оценка численности постоянного населения в МО «</w:t>
      </w:r>
      <w:proofErr w:type="spellStart"/>
      <w:r w:rsidRPr="00C60298">
        <w:rPr>
          <w:rFonts w:ascii="Times New Roman" w:hAnsi="Times New Roman"/>
          <w:spacing w:val="2"/>
          <w:sz w:val="24"/>
          <w:szCs w:val="24"/>
        </w:rPr>
        <w:t>Чемальский</w:t>
      </w:r>
      <w:proofErr w:type="spellEnd"/>
      <w:r w:rsidRPr="00C60298">
        <w:rPr>
          <w:rFonts w:ascii="Times New Roman" w:hAnsi="Times New Roman"/>
          <w:spacing w:val="2"/>
          <w:sz w:val="24"/>
          <w:szCs w:val="24"/>
        </w:rPr>
        <w:t xml:space="preserve"> район» составила 10985 чел., что на 228 чел. или на 2,1 % </w:t>
      </w:r>
      <w:r w:rsidRPr="00C60298">
        <w:rPr>
          <w:rFonts w:ascii="Times New Roman" w:hAnsi="Times New Roman"/>
          <w:i/>
          <w:iCs/>
          <w:spacing w:val="2"/>
          <w:sz w:val="24"/>
          <w:szCs w:val="24"/>
        </w:rPr>
        <w:t>больше,</w:t>
      </w:r>
      <w:r w:rsidRPr="00C60298">
        <w:rPr>
          <w:rFonts w:ascii="Times New Roman" w:hAnsi="Times New Roman"/>
          <w:spacing w:val="2"/>
          <w:sz w:val="24"/>
          <w:szCs w:val="24"/>
        </w:rPr>
        <w:t xml:space="preserve"> чем на 01.01.2020 г.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bCs/>
          <w:spacing w:val="2"/>
          <w:sz w:val="24"/>
          <w:szCs w:val="24"/>
        </w:rPr>
      </w:pPr>
    </w:p>
    <w:tbl>
      <w:tblPr>
        <w:tblW w:w="92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616"/>
        <w:gridCol w:w="929"/>
        <w:gridCol w:w="1765"/>
        <w:gridCol w:w="1701"/>
        <w:gridCol w:w="1251"/>
      </w:tblGrid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C60298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C602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01.01.2020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</w:p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01.01.2021 г.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 xml:space="preserve">Численность постоянного населения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10757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10985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Родившиеся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0298">
              <w:rPr>
                <w:rFonts w:ascii="Times New Roman" w:hAnsi="Times New Roman"/>
                <w:sz w:val="24"/>
                <w:szCs w:val="24"/>
              </w:rPr>
              <w:t>Умершие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Pr="00C60298">
              <w:rPr>
                <w:rFonts w:ascii="Times New Roman" w:hAnsi="Times New Roman"/>
                <w:sz w:val="24"/>
                <w:szCs w:val="24"/>
              </w:rPr>
              <w:t>в т.ч. смертность населения от внешних причин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F08A268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7A766B8F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74F23B10" w:rsidRPr="00C60298" w:rsidRDefault="74F23B10" w:rsidP="00596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130,8</w:t>
            </w:r>
          </w:p>
          <w:p w:rsidR="009A3435" w:rsidRPr="00C60298" w:rsidRDefault="009A3435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Естественный прирост населения (на 1000 чел. населения)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11,1</w:t>
            </w:r>
          </w:p>
        </w:tc>
      </w:tr>
      <w:tr w:rsidR="009A3435" w:rsidRPr="00C60298" w:rsidTr="74F23B10">
        <w:trPr>
          <w:trHeight w:val="33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Прибыло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Выбыло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88,4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Миграционный прирост/убыль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9A3435" w:rsidRPr="00C60298" w:rsidTr="74F23B10"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Число браков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9A3435" w:rsidRPr="00C60298" w:rsidTr="74F23B10">
        <w:trPr>
          <w:trHeight w:val="7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Число разводов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003E0316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435" w:rsidRPr="00C60298" w:rsidRDefault="5B0AE120" w:rsidP="00596A2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298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</w:tbl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3435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На 01.01.2021 г. родилось 129 чел., что на 13 детей </w:t>
      </w:r>
      <w:r w:rsidRPr="00C60298">
        <w:rPr>
          <w:rFonts w:ascii="Times New Roman" w:hAnsi="Times New Roman"/>
          <w:i/>
          <w:iCs/>
          <w:sz w:val="24"/>
          <w:szCs w:val="24"/>
        </w:rPr>
        <w:t>меньше</w:t>
      </w:r>
      <w:r w:rsidRPr="00C60298">
        <w:rPr>
          <w:rFonts w:ascii="Times New Roman" w:hAnsi="Times New Roman"/>
          <w:sz w:val="24"/>
          <w:szCs w:val="24"/>
        </w:rPr>
        <w:t xml:space="preserve">, чем на 01.01.2020 г. (142 ребенка). </w:t>
      </w:r>
      <w:r w:rsidRPr="00C60298">
        <w:rPr>
          <w:rFonts w:ascii="Times New Roman" w:eastAsia="Times New Roman" w:hAnsi="Times New Roman"/>
          <w:sz w:val="24"/>
          <w:szCs w:val="24"/>
        </w:rPr>
        <w:t>Снижение обусловлено сокращением числа женщин детородного возраста.</w:t>
      </w:r>
    </w:p>
    <w:p w:rsidR="009A3435" w:rsidRPr="00C60298" w:rsidRDefault="4D456D65" w:rsidP="00596A25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В сравнении с планом на 01.01.2021 г. отмечено отклонение темпа роста числа родившихся на (-) 12,65 процентных пункта.</w:t>
      </w:r>
    </w:p>
    <w:p w:rsidR="009A3435" w:rsidRPr="00C60298" w:rsidRDefault="5B0AE120" w:rsidP="00596A25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Причина отклонения от планового значения связана со снижением количества женщин репродуктивного возраста, увеличения количества семей, откладывающих рождение ребенка на более поздний период вследствие нестабильности в стране и неуверенности в завтрашнем дне.</w:t>
      </w:r>
    </w:p>
    <w:p w:rsidR="5B0AE120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lastRenderedPageBreak/>
        <w:t xml:space="preserve">Показатель естественного прироста в расчете на 1000 населения на 01.01.2021 г. составил 0,3 чел., что </w:t>
      </w:r>
      <w:r w:rsidRPr="00C60298">
        <w:rPr>
          <w:rFonts w:ascii="Times New Roman" w:hAnsi="Times New Roman"/>
          <w:i/>
          <w:iCs/>
          <w:sz w:val="24"/>
          <w:szCs w:val="24"/>
        </w:rPr>
        <w:t>ниже</w:t>
      </w:r>
      <w:r w:rsidRPr="00C60298">
        <w:rPr>
          <w:rFonts w:ascii="Times New Roman" w:hAnsi="Times New Roman"/>
          <w:sz w:val="24"/>
          <w:szCs w:val="24"/>
        </w:rPr>
        <w:t xml:space="preserve"> уровня на 01.01.2020 г. на 88,9% (на 01.01.2020 г. - 2,7 чел.). </w:t>
      </w:r>
      <w:r w:rsidRPr="00C60298">
        <w:rPr>
          <w:rFonts w:ascii="Times New Roman" w:hAnsi="Times New Roman"/>
          <w:i/>
          <w:iCs/>
          <w:sz w:val="24"/>
          <w:szCs w:val="24"/>
        </w:rPr>
        <w:t>Снижение</w:t>
      </w:r>
      <w:r w:rsidRPr="00C60298">
        <w:rPr>
          <w:rFonts w:ascii="Times New Roman" w:hAnsi="Times New Roman"/>
          <w:sz w:val="24"/>
          <w:szCs w:val="24"/>
        </w:rPr>
        <w:t xml:space="preserve"> показателя естественного прироста </w:t>
      </w:r>
      <w:r w:rsidRPr="00C60298">
        <w:rPr>
          <w:rFonts w:ascii="Times New Roman" w:hAnsi="Times New Roman"/>
          <w:i/>
          <w:iCs/>
          <w:sz w:val="24"/>
          <w:szCs w:val="24"/>
        </w:rPr>
        <w:t xml:space="preserve">сформировался </w:t>
      </w:r>
      <w:r w:rsidRPr="00C60298">
        <w:rPr>
          <w:rFonts w:ascii="Times New Roman" w:hAnsi="Times New Roman"/>
          <w:sz w:val="24"/>
          <w:szCs w:val="24"/>
        </w:rPr>
        <w:t xml:space="preserve">за счет </w:t>
      </w:r>
      <w:r w:rsidRPr="00C60298">
        <w:rPr>
          <w:rFonts w:ascii="Times New Roman" w:eastAsia="Times New Roman" w:hAnsi="Times New Roman"/>
          <w:sz w:val="24"/>
          <w:szCs w:val="24"/>
        </w:rPr>
        <w:t>снижения рождаемости к аналогичному периоду прошлого года.</w:t>
      </w:r>
    </w:p>
    <w:p w:rsidR="5B0AE120" w:rsidRPr="00C60298" w:rsidRDefault="0F08A268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Смертность населения на 01.01.2021 г. по отношению к уровню аналогичного периода прошлого года </w:t>
      </w:r>
      <w:r w:rsidRPr="00C60298">
        <w:rPr>
          <w:rFonts w:ascii="Times New Roman" w:hAnsi="Times New Roman"/>
          <w:i/>
          <w:iCs/>
          <w:sz w:val="24"/>
          <w:szCs w:val="24"/>
        </w:rPr>
        <w:t>увеличилась</w:t>
      </w:r>
      <w:r w:rsidRPr="00C60298">
        <w:rPr>
          <w:rFonts w:ascii="Times New Roman" w:hAnsi="Times New Roman"/>
          <w:sz w:val="24"/>
          <w:szCs w:val="24"/>
        </w:rPr>
        <w:t xml:space="preserve"> на 12 чел. или на 10,5%. Увеличение обусловлено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увеличением смертности от различных болезней. </w:t>
      </w:r>
    </w:p>
    <w:p w:rsidR="5B0AE120" w:rsidRPr="00C60298" w:rsidRDefault="09C8E9A6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Основной причиной смертности по основным классам причин смертности являются: </w:t>
      </w:r>
    </w:p>
    <w:p w:rsidR="5B0AE120" w:rsidRPr="00C60298" w:rsidRDefault="09C8E9A6" w:rsidP="00596A25">
      <w:pPr>
        <w:pStyle w:val="a6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болезни системы кровообращения - 45 чел. (35,7 % от всех случаев смерти); </w:t>
      </w:r>
    </w:p>
    <w:p w:rsidR="5B0AE120" w:rsidRPr="00C60298" w:rsidRDefault="09C8E9A6" w:rsidP="00596A25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новообразования - 19 чел. (15,1 % от всех случаев смерти);</w:t>
      </w:r>
    </w:p>
    <w:p w:rsidR="5B0AE120" w:rsidRPr="00C60298" w:rsidRDefault="09C8E9A6" w:rsidP="00596A25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Болезни нервной системы - 19 чел. (15,1 % от всех случаев смерти) 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тд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hAnsi="Times New Roman"/>
          <w:sz w:val="24"/>
          <w:szCs w:val="24"/>
        </w:rPr>
        <w:t xml:space="preserve"> </w:t>
      </w:r>
    </w:p>
    <w:p w:rsidR="0F08A268" w:rsidRPr="00C60298" w:rsidRDefault="7A766B8F" w:rsidP="00596A25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           Смертность населения от внешних причин на 01.01.2021 г. по отношению к уровню прошлого года увеличилась на 4 чел. или на 30,8% (на 01.01.2020г. - 13 чел., на 01.01.2021 г. - 17 чел.).</w:t>
      </w:r>
    </w:p>
    <w:p w:rsidR="009A3435" w:rsidRPr="00C60298" w:rsidRDefault="7A766B8F" w:rsidP="00596A25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В сравнении с планом на 01.01.2021 г. отмечено отклонение уровня с</w:t>
      </w:r>
      <w:r w:rsidRPr="00C60298">
        <w:rPr>
          <w:rFonts w:ascii="Times New Roman" w:hAnsi="Times New Roman"/>
          <w:sz w:val="24"/>
          <w:szCs w:val="24"/>
        </w:rPr>
        <w:t xml:space="preserve">мертности населения от внешних причин </w:t>
      </w: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на (+) 0,8 процентных пункта.</w:t>
      </w:r>
    </w:p>
    <w:p w:rsidR="009A3435" w:rsidRPr="00C60298" w:rsidRDefault="7A766B8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Причина отклонения от планового значения связана с увеличением смертности от внешних причин на 4 чел.</w:t>
      </w:r>
    </w:p>
    <w:p w:rsidR="009A3435" w:rsidRPr="00C60298" w:rsidRDefault="7A766B8F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Для снижения смертности, в том числе по причине самоубийств, проведены следующие мероприятия: </w:t>
      </w:r>
    </w:p>
    <w:p w:rsidR="5B0AE120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1) в образовательных учреждениях проведены встречи психологической службы управления образования с родителями, педагогами, учащимися о профилактике самоубийств и своевременном обращении родителей о признаках психологического расстройства детей к психологам; </w:t>
      </w:r>
    </w:p>
    <w:p w:rsidR="5B0AE120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2) разработан план мероприятий по работе с педагогическими коллективами, разработаны рекомендации по работе с родителями в период проведения ЕГЭ и ГИА; </w:t>
      </w:r>
    </w:p>
    <w:p w:rsidR="5B0AE120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3) даны рекомендации центру занятости населения по активизации работы и расширения направлений по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самозанятости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населения в районе.</w:t>
      </w:r>
    </w:p>
    <w:p w:rsidR="009A3435" w:rsidRPr="00C60298" w:rsidRDefault="5B0AE120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Одним из факторов </w:t>
      </w:r>
      <w:r w:rsidRPr="00C60298">
        <w:rPr>
          <w:rFonts w:ascii="Times New Roman" w:hAnsi="Times New Roman"/>
          <w:i/>
          <w:iCs/>
          <w:sz w:val="24"/>
          <w:szCs w:val="24"/>
        </w:rPr>
        <w:t xml:space="preserve">роста </w:t>
      </w:r>
      <w:r w:rsidRPr="00C60298">
        <w:rPr>
          <w:rFonts w:ascii="Times New Roman" w:hAnsi="Times New Roman"/>
          <w:sz w:val="24"/>
          <w:szCs w:val="24"/>
        </w:rPr>
        <w:t xml:space="preserve">численности населения является миграционный прирост. Число прибывших на 01.01.2021 г. составило 765 чел., что на 7,2% </w:t>
      </w:r>
      <w:r w:rsidRPr="00C60298">
        <w:rPr>
          <w:rFonts w:ascii="Times New Roman" w:hAnsi="Times New Roman"/>
          <w:i/>
          <w:iCs/>
          <w:sz w:val="24"/>
          <w:szCs w:val="24"/>
        </w:rPr>
        <w:t>ниже</w:t>
      </w:r>
      <w:r w:rsidRPr="00C60298">
        <w:rPr>
          <w:rFonts w:ascii="Times New Roman" w:hAnsi="Times New Roman"/>
          <w:sz w:val="24"/>
          <w:szCs w:val="24"/>
        </w:rPr>
        <w:t xml:space="preserve"> аналогичного периода прошлого года (на 01.01.2020 г. - 824 чел.). Число выбывших на 01.01.2021 г. составило 532 чел., что на 11,6 % </w:t>
      </w:r>
      <w:r w:rsidRPr="00C60298">
        <w:rPr>
          <w:rFonts w:ascii="Times New Roman" w:hAnsi="Times New Roman"/>
          <w:i/>
          <w:iCs/>
          <w:sz w:val="24"/>
          <w:szCs w:val="24"/>
        </w:rPr>
        <w:t>ниже</w:t>
      </w:r>
      <w:r w:rsidRPr="00C60298">
        <w:rPr>
          <w:rFonts w:ascii="Times New Roman" w:hAnsi="Times New Roman"/>
          <w:sz w:val="24"/>
          <w:szCs w:val="24"/>
        </w:rPr>
        <w:t xml:space="preserve"> аналогичного периода прошлого года (на 01.01.2020 г. - 602 чел.). Миграционный прирост на 01.01.2021 г. составил 233 чел., что на 5,0 % </w:t>
      </w:r>
      <w:r w:rsidRPr="00C60298">
        <w:rPr>
          <w:rFonts w:ascii="Times New Roman" w:hAnsi="Times New Roman"/>
          <w:i/>
          <w:iCs/>
          <w:sz w:val="24"/>
          <w:szCs w:val="24"/>
        </w:rPr>
        <w:t>выше</w:t>
      </w:r>
      <w:r w:rsidRPr="00C60298">
        <w:rPr>
          <w:rFonts w:ascii="Times New Roman" w:hAnsi="Times New Roman"/>
          <w:sz w:val="24"/>
          <w:szCs w:val="24"/>
        </w:rPr>
        <w:t xml:space="preserve"> аналогичного периода прошлого года (на 01.01.2020 г. - 222 чел.).</w:t>
      </w:r>
    </w:p>
    <w:p w:rsidR="009A3435" w:rsidRPr="00C60298" w:rsidRDefault="003E0316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hAnsi="Times New Roman"/>
          <w:sz w:val="24"/>
          <w:szCs w:val="24"/>
        </w:rPr>
        <w:t xml:space="preserve">Число браков на 0101.2021 г. </w:t>
      </w:r>
      <w:r w:rsidRPr="00C60298">
        <w:rPr>
          <w:rFonts w:ascii="Times New Roman" w:hAnsi="Times New Roman"/>
          <w:i/>
          <w:iCs/>
          <w:sz w:val="24"/>
          <w:szCs w:val="24"/>
        </w:rPr>
        <w:t>снизилось</w:t>
      </w:r>
      <w:r w:rsidRPr="00C60298">
        <w:rPr>
          <w:rFonts w:ascii="Times New Roman" w:hAnsi="Times New Roman"/>
          <w:sz w:val="24"/>
          <w:szCs w:val="24"/>
        </w:rPr>
        <w:t xml:space="preserve"> на 13,3%, число разводов </w:t>
      </w:r>
      <w:r w:rsidRPr="00C60298">
        <w:rPr>
          <w:rFonts w:ascii="Times New Roman" w:hAnsi="Times New Roman"/>
          <w:i/>
          <w:iCs/>
          <w:sz w:val="24"/>
          <w:szCs w:val="24"/>
        </w:rPr>
        <w:t>увеличилось</w:t>
      </w:r>
      <w:r w:rsidRPr="00C60298">
        <w:rPr>
          <w:rFonts w:ascii="Times New Roman" w:hAnsi="Times New Roman"/>
          <w:sz w:val="24"/>
          <w:szCs w:val="24"/>
        </w:rPr>
        <w:t xml:space="preserve"> на 13,0%. На динамику числа браков и разводов оказали влияние следующие </w:t>
      </w:r>
      <w:r w:rsidRPr="00C60298">
        <w:rPr>
          <w:rFonts w:ascii="Times New Roman" w:hAnsi="Times New Roman"/>
          <w:spacing w:val="3"/>
          <w:sz w:val="24"/>
          <w:szCs w:val="24"/>
        </w:rPr>
        <w:t xml:space="preserve">факторы: </w:t>
      </w:r>
      <w:r w:rsidR="5B0AE120" w:rsidRPr="00C60298">
        <w:rPr>
          <w:rFonts w:ascii="Times New Roman" w:eastAsia="Times New Roman" w:hAnsi="Times New Roman"/>
          <w:sz w:val="24"/>
          <w:szCs w:val="24"/>
        </w:rPr>
        <w:t>люди перестали регистрировать свои отношения в связи с ограничениями Ковид-19.</w:t>
      </w:r>
    </w:p>
    <w:p w:rsidR="009A3435" w:rsidRPr="00C60298" w:rsidRDefault="009A3435" w:rsidP="00596A25">
      <w:pPr>
        <w:spacing w:after="0"/>
        <w:ind w:firstLine="709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9A3435" w:rsidRPr="00C60298" w:rsidRDefault="5C4D6B08" w:rsidP="00596A25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60298">
        <w:rPr>
          <w:rFonts w:ascii="Times New Roman" w:hAnsi="Times New Roman"/>
          <w:b/>
          <w:bCs/>
          <w:sz w:val="24"/>
          <w:szCs w:val="24"/>
        </w:rPr>
        <w:t>4.4. Социальная сфера</w:t>
      </w:r>
    </w:p>
    <w:p w:rsidR="009A3435" w:rsidRPr="00C60298" w:rsidRDefault="003E0316" w:rsidP="00596A25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C60298">
        <w:rPr>
          <w:rFonts w:ascii="Times New Roman" w:hAnsi="Times New Roman"/>
          <w:b/>
          <w:bCs/>
          <w:i/>
          <w:sz w:val="24"/>
          <w:szCs w:val="24"/>
        </w:rPr>
        <w:t xml:space="preserve">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</w:t>
      </w:r>
      <w:r w:rsidRPr="00C60298">
        <w:rPr>
          <w:rFonts w:ascii="Times New Roman" w:hAnsi="Times New Roman"/>
          <w:b/>
          <w:bCs/>
          <w:i/>
          <w:sz w:val="24"/>
          <w:szCs w:val="24"/>
        </w:rPr>
        <w:lastRenderedPageBreak/>
        <w:t>году, и численности детей от 2-х месяцев до 3-х лет, находящихся в очереди</w:t>
      </w:r>
      <w:proofErr w:type="gramEnd"/>
      <w:r w:rsidRPr="00C60298">
        <w:rPr>
          <w:rFonts w:ascii="Times New Roman" w:hAnsi="Times New Roman"/>
          <w:b/>
          <w:bCs/>
          <w:i/>
          <w:sz w:val="24"/>
          <w:szCs w:val="24"/>
        </w:rPr>
        <w:t xml:space="preserve"> на получение в текущем году дошкольного образования</w:t>
      </w:r>
    </w:p>
    <w:p w:rsidR="009A3435" w:rsidRPr="00C60298" w:rsidRDefault="57C88B9D" w:rsidP="00596A25">
      <w:pPr>
        <w:suppressAutoHyphens/>
        <w:spacing w:after="0"/>
        <w:ind w:firstLine="709"/>
        <w:contextualSpacing/>
        <w:jc w:val="both"/>
        <w:rPr>
          <w:rFonts w:ascii="Times New Roman" w:eastAsia="Verdana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Дошкольное образование на 01.01.2021 г. включает 3 дошкольных образовательных учреждений (3 муниципальных дошкольных образовательных организаций и 0 частных детских садов), 5 дошкольных групп при 5 общеобразовательных учреждениях. Как альтернативная мера предоставления услуг дошкольного образования за период с начала 2020 г. функционировал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о(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а) 5 групп(а) кратковременного пребывания дошкольников для детей в возрасте 5 – 7лет.  </w:t>
      </w:r>
    </w:p>
    <w:p w:rsidR="009A3435" w:rsidRPr="00C60298" w:rsidRDefault="57C88B9D" w:rsidP="00596A25">
      <w:pPr>
        <w:suppressAutoHyphens/>
        <w:spacing w:after="0"/>
        <w:ind w:firstLine="709"/>
        <w:contextualSpacing/>
        <w:jc w:val="both"/>
        <w:rPr>
          <w:rFonts w:ascii="Times New Roman" w:eastAsia="Verdana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Для детей ясельного возраста не созданы группы кратковременного пребывания, так как нет необходимых помещений, оборудованных в соответствии с требованиями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СанПин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СП 2.4.3648-20.</w:t>
      </w:r>
    </w:p>
    <w:p w:rsidR="35EC10AA" w:rsidRPr="00C60298" w:rsidRDefault="35EC10AA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A3435" w:rsidRPr="00C60298" w:rsidRDefault="57C88B9D" w:rsidP="00596A2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На 01.01.2021 г. обеспечено местами в ДОУ 21 ребенок ясельного возраста. Актуальная очередность детей в возрасте от 2-х месяцев до 3 лет на 01.01.2021 г. составляет 0 детей. </w:t>
      </w:r>
    </w:p>
    <w:p w:rsidR="35EC10AA" w:rsidRPr="00C60298" w:rsidRDefault="35EC10AA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3435" w:rsidRPr="00C60298" w:rsidRDefault="57C88B9D" w:rsidP="00596A25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На 01.01.2021 г. доступность дошкольного образования для детей в возрасте от 2-х месяцев до 3-х лет составляет 100 % от потребности в услугах дошкольного образования, что </w:t>
      </w:r>
      <w:r w:rsidRPr="00C6029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больше </w:t>
      </w: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планового значения показателя на 01.01.2021 г. на 30 процентных пункта.  Данный показатель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был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достигнут путем создания 15 дополнительных </w:t>
      </w:r>
      <w:r w:rsidR="00F530F1">
        <w:rPr>
          <w:rFonts w:ascii="Times New Roman" w:eastAsia="Times New Roman" w:hAnsi="Times New Roman"/>
          <w:sz w:val="24"/>
          <w:szCs w:val="24"/>
          <w:lang w:eastAsia="ru-RU"/>
        </w:rPr>
        <w:t>мест в МДОУ «Детский сад «У</w:t>
      </w:r>
      <w:r w:rsidRPr="00C60298">
        <w:rPr>
          <w:rFonts w:ascii="Times New Roman" w:eastAsia="Times New Roman" w:hAnsi="Times New Roman"/>
          <w:sz w:val="24"/>
          <w:szCs w:val="24"/>
          <w:lang w:eastAsia="ru-RU"/>
        </w:rPr>
        <w:t>» по средствам перепрофилирования имеющихся групп (помещений) для детей ясельного возраста.</w:t>
      </w:r>
    </w:p>
    <w:p w:rsidR="3BEE6FAD" w:rsidRPr="00C60298" w:rsidRDefault="3BEE6FAD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3435" w:rsidRPr="00C60298" w:rsidRDefault="35EC10AA" w:rsidP="00596A2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В целях обеспечения достижения целевого показателя на 01.01.2021 г. проведены следующие мероприятия:</w:t>
      </w:r>
    </w:p>
    <w:p w:rsidR="009A3435" w:rsidRPr="00C60298" w:rsidRDefault="57C88B9D" w:rsidP="00596A2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1) Ведется строительство детского сада на 125 мест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с. Чемал.  Для детей ясельного возраста будет создано 60 мест. В связи со сложившейся эпидемиологической обстановкой вв</w:t>
      </w:r>
      <w:r w:rsidR="00C14DC5" w:rsidRPr="00C60298">
        <w:rPr>
          <w:rFonts w:ascii="Times New Roman" w:eastAsia="Times New Roman" w:hAnsi="Times New Roman"/>
          <w:sz w:val="24"/>
          <w:szCs w:val="24"/>
          <w:lang w:eastAsia="ar-SA"/>
        </w:rPr>
        <w:t>од объекта перенесен на 2021 г</w:t>
      </w: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9A3435" w:rsidRPr="00C60298" w:rsidRDefault="3BEE6FAD" w:rsidP="00596A25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2) Открытие семейной воспитательной группы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с.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Аскат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Чемальского</w:t>
      </w:r>
      <w:proofErr w:type="spell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>района</w:t>
      </w:r>
      <w:proofErr w:type="gramEnd"/>
      <w:r w:rsidRPr="00C60298">
        <w:rPr>
          <w:rFonts w:ascii="Times New Roman" w:eastAsia="Times New Roman" w:hAnsi="Times New Roman"/>
          <w:sz w:val="24"/>
          <w:szCs w:val="24"/>
          <w:lang w:eastAsia="ar-SA"/>
        </w:rPr>
        <w:t xml:space="preserve"> в декабре 2020 г.  на 3 места.</w:t>
      </w:r>
    </w:p>
    <w:p w:rsidR="184F7DB3" w:rsidRPr="00C60298" w:rsidRDefault="184F7DB3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A3435" w:rsidRPr="00C60298" w:rsidRDefault="5BE55018" w:rsidP="00596A25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60298">
        <w:rPr>
          <w:rFonts w:ascii="Times New Roman" w:hAnsi="Times New Roman"/>
          <w:b/>
          <w:bCs/>
          <w:i/>
          <w:iCs/>
          <w:sz w:val="24"/>
          <w:szCs w:val="24"/>
        </w:rPr>
        <w:t>Удельный вес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</w:t>
      </w:r>
    </w:p>
    <w:p w:rsidR="5BE55018" w:rsidRPr="00C60298" w:rsidRDefault="5BE5501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На 01.01.2021 г. в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функционируют три учреждения дополнительного образования: МУ ДО «Ч», МУ ДОД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>», МБУ ДО «Чем». Количество детей в возрасте от 5 до 18 лет, получающих услуги по дополнительному образованию, составило 1795 чел., общее количество детей в возрасте от 5 до 18 лет составляет 2393 чел.</w:t>
      </w:r>
    </w:p>
    <w:p w:rsidR="5BE55018" w:rsidRPr="00C60298" w:rsidRDefault="5BE5501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 xml:space="preserve">По состоянию на 01.01.2021 г. доля детей в возрасте от 5 до 18 лет, получающих услуги по дополнительному образованию, от общего количества детей в возрасте от 5 до 18 лет, составляет 75 %, что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 xml:space="preserve">больше 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аналогичного периода прошлого года на 8 процентных пунктов (на 01.01.2020 г. - 67%).</w:t>
      </w:r>
      <w:proofErr w:type="gramEnd"/>
    </w:p>
    <w:p w:rsidR="5BE55018" w:rsidRPr="00C60298" w:rsidRDefault="5BE5501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В сравнении с планом на 01.01.2021 г. отмечено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увеличение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показателя на 12 процентных пункта, что обусловлено следующими причинами: </w:t>
      </w:r>
    </w:p>
    <w:p w:rsidR="5BE55018" w:rsidRPr="00C60298" w:rsidRDefault="5BE55018" w:rsidP="00596A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- Открытие спортивных секций и творческих объединений.</w:t>
      </w:r>
    </w:p>
    <w:p w:rsidR="317BCCA1" w:rsidRPr="00C60298" w:rsidRDefault="317BCCA1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Число несовершеннолетних, пострадавших от преступных посягательств</w:t>
      </w:r>
      <w:r w:rsidRPr="00C60298">
        <w:rPr>
          <w:rFonts w:ascii="Times New Roman" w:eastAsia="Times New Roman" w:hAnsi="Times New Roman"/>
          <w:sz w:val="24"/>
          <w:szCs w:val="24"/>
        </w:rPr>
        <w:t> 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 xml:space="preserve">Численность несовершеннолетних, потерпевших от 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преступных посягательств, в МО «</w:t>
      </w:r>
      <w:proofErr w:type="spellStart"/>
      <w:r w:rsidR="00C14DC5"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="00C14DC5" w:rsidRPr="00C60298">
        <w:rPr>
          <w:rFonts w:ascii="Times New Roman" w:eastAsia="Times New Roman" w:hAnsi="Times New Roman"/>
          <w:sz w:val="24"/>
          <w:szCs w:val="24"/>
        </w:rPr>
        <w:t xml:space="preserve"> район»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на 01.01.2021 г. составила 18 чел., в сравнении с аналогичным периодом 2019 г. темп роста составил 150 %, или на 6 чел. (на 01.01.2020 г. – 12 чел.). 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Показатель несовершеннолетних, потерпевших от преступных посягательств, на 1000 чел</w:t>
      </w:r>
      <w:r w:rsidR="00C14DC5" w:rsidRPr="00C60298">
        <w:rPr>
          <w:rFonts w:ascii="Times New Roman" w:eastAsia="Times New Roman" w:hAnsi="Times New Roman"/>
          <w:sz w:val="24"/>
          <w:szCs w:val="24"/>
        </w:rPr>
        <w:t>.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в возрасте от 0 до 18 лет, на 01.01.2021 г. составил 5,7 ед., в сравнении с аналогичным периодом 2019 г. показатель увеличился на 1,8 ед. (на 01.01.2020 г. - 3,9 ед.). Плановый показатель составляет 4,2 ед. Отклонение фактического значения целевого показателя от плана составило +1,5 ед.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Причинами отклонения показателя от плана произошло за счет роста преступлений по ст. 157 УК РФ «Неуплата средств на содержание детей или нетрудоспособных родителей».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Численность несовершеннолетних, потерпевших от преступных посягательств по видам преступлений распределилась следующим образом: 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ст. 112 УК РФ – 2 несовершеннолетних (на 01.01.2020 г. - 1 несовершеннолетний); 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ст. 119 УК РФ – 1 несовершеннолетний (на 01.01.2020 г. - 0 несовершеннолетних); 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ч. 1 ст. 157 УК РФ – 6 несовершеннолетних (на 01.01.2020 г. - 4 несовершеннолетних);</w:t>
      </w:r>
    </w:p>
    <w:p w:rsidR="317BCCA1" w:rsidRPr="00C60298" w:rsidRDefault="4D456D65" w:rsidP="00596A25">
      <w:pPr>
        <w:spacing w:after="0"/>
        <w:ind w:firstLine="703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иные - 9 несовершеннолетних (на 01.01.2020 г. - 3 несовершеннолетних).</w:t>
      </w:r>
    </w:p>
    <w:p w:rsidR="317BCCA1" w:rsidRPr="00C60298" w:rsidRDefault="4D456D65" w:rsidP="00596A2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60298">
        <w:rPr>
          <w:rFonts w:ascii="Times New Roman" w:eastAsia="Times New Roman" w:hAnsi="Times New Roman"/>
          <w:sz w:val="24"/>
          <w:szCs w:val="24"/>
        </w:rPr>
        <w:t xml:space="preserve">Для снижения показателя на 01.01.2021 г. приняты следующие меры </w:t>
      </w:r>
      <w:r w:rsidRPr="00C60298">
        <w:rPr>
          <w:rFonts w:ascii="Times New Roman" w:eastAsia="Times New Roman" w:hAnsi="Times New Roman"/>
          <w:i/>
          <w:iCs/>
          <w:sz w:val="24"/>
          <w:szCs w:val="24"/>
        </w:rPr>
        <w:t>(указать информацию о проведенных мероприятиях, разработанных и принятых планах, программах и др.):</w:t>
      </w:r>
      <w:r w:rsidRPr="00C60298">
        <w:rPr>
          <w:rFonts w:ascii="Times New Roman" w:eastAsia="Times New Roman" w:hAnsi="Times New Roman"/>
          <w:sz w:val="24"/>
          <w:szCs w:val="24"/>
        </w:rPr>
        <w:t xml:space="preserve"> 2 раза в месяц проводятся заседания комиссии по делам несовершеннолетних, своевременно исполняются субъектами системы мероприятия по профилактике безнадзорности и правонарушениях несовершеннолетних, мероприятия, направленные на снижение количества несовершеннолетних, потерпевших от преступных посягательств на территории района (межведомственные рейдовые мероприятия, просветительская деятельность</w:t>
      </w:r>
      <w:proofErr w:type="gramEnd"/>
      <w:r w:rsidRPr="00C60298">
        <w:rPr>
          <w:rFonts w:ascii="Times New Roman" w:eastAsia="Times New Roman" w:hAnsi="Times New Roman"/>
          <w:sz w:val="24"/>
          <w:szCs w:val="24"/>
        </w:rPr>
        <w:t xml:space="preserve">, вовлечение детей в 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культурно-досуговые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формирования различной направленности).</w:t>
      </w:r>
    </w:p>
    <w:p w:rsidR="317BCCA1" w:rsidRPr="00C60298" w:rsidRDefault="4D456D65" w:rsidP="00596A2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gramStart"/>
      <w:r w:rsidRPr="00C6029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Уровень бедности (отношение количества малообеспеченных семей к общему количеству семей (по данным социального паспорта РА)</w:t>
      </w:r>
      <w:proofErr w:type="gramEnd"/>
    </w:p>
    <w:p w:rsidR="317BCCA1" w:rsidRPr="00C60298" w:rsidRDefault="4D456D65" w:rsidP="00596A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0298">
        <w:rPr>
          <w:rFonts w:ascii="Times New Roman" w:eastAsia="Times New Roman" w:hAnsi="Times New Roman"/>
          <w:sz w:val="24"/>
          <w:szCs w:val="24"/>
        </w:rPr>
        <w:t>По данным Социального паспорта в МО «</w:t>
      </w:r>
      <w:proofErr w:type="spellStart"/>
      <w:r w:rsidRPr="00C60298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C60298">
        <w:rPr>
          <w:rFonts w:ascii="Times New Roman" w:eastAsia="Times New Roman" w:hAnsi="Times New Roman"/>
          <w:sz w:val="24"/>
          <w:szCs w:val="24"/>
        </w:rPr>
        <w:t xml:space="preserve"> район» на 01.01.2021 г. общее количество семей – 2868</w:t>
      </w:r>
      <w:r w:rsidR="008211A9" w:rsidRPr="00C60298">
        <w:rPr>
          <w:rFonts w:ascii="Times New Roman" w:eastAsia="Times New Roman" w:hAnsi="Times New Roman"/>
          <w:sz w:val="24"/>
          <w:szCs w:val="24"/>
        </w:rPr>
        <w:t xml:space="preserve"> ед.</w:t>
      </w:r>
      <w:r w:rsidRPr="00C60298">
        <w:rPr>
          <w:rFonts w:ascii="Times New Roman" w:eastAsia="Times New Roman" w:hAnsi="Times New Roman"/>
          <w:sz w:val="24"/>
          <w:szCs w:val="24"/>
        </w:rPr>
        <w:t>, из них малообеспеченных семей (доход на одного члена семьи не превышает величину прожиточного минимума) – 757</w:t>
      </w:r>
      <w:r w:rsidR="008211A9" w:rsidRPr="00C60298">
        <w:rPr>
          <w:rFonts w:ascii="Times New Roman" w:eastAsia="Times New Roman" w:hAnsi="Times New Roman"/>
          <w:sz w:val="24"/>
          <w:szCs w:val="24"/>
        </w:rPr>
        <w:t xml:space="preserve"> ед</w:t>
      </w:r>
      <w:r w:rsidRPr="00C60298">
        <w:rPr>
          <w:rFonts w:ascii="Times New Roman" w:eastAsia="Times New Roman" w:hAnsi="Times New Roman"/>
          <w:sz w:val="24"/>
          <w:szCs w:val="24"/>
        </w:rPr>
        <w:t>.</w:t>
      </w:r>
    </w:p>
    <w:p w:rsidR="00F51673" w:rsidRDefault="00F51673" w:rsidP="00F51673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F51673" w:rsidRPr="00BE7D7C" w:rsidRDefault="00F51673" w:rsidP="00F516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D7C">
        <w:rPr>
          <w:rFonts w:ascii="Times New Roman" w:eastAsia="Times New Roman" w:hAnsi="Times New Roman"/>
          <w:b/>
          <w:bCs/>
          <w:sz w:val="24"/>
          <w:szCs w:val="24"/>
        </w:rPr>
        <w:t xml:space="preserve">Раздел </w:t>
      </w:r>
      <w:r w:rsidRPr="00BE7D7C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</w:t>
      </w:r>
      <w:r w:rsidRPr="00BE7D7C">
        <w:rPr>
          <w:rFonts w:ascii="Times New Roman" w:eastAsia="Times New Roman" w:hAnsi="Times New Roman"/>
          <w:b/>
          <w:bCs/>
          <w:sz w:val="24"/>
          <w:szCs w:val="24"/>
        </w:rPr>
        <w:t>. Полнота внесения муниципальным образованием и сельскими поселениями сведений по документам стратегического планирования (пунктом 5 статьи 11 Федерального закона от 28 июня 2014 года № 172-ФЗ) в Федеральную информационную систему стратегического планирования (ФИС СП) на базе ГАС «Управление»</w:t>
      </w:r>
    </w:p>
    <w:p w:rsidR="00F51673" w:rsidRPr="00BE7D7C" w:rsidRDefault="00F51673" w:rsidP="00F516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D7C">
        <w:rPr>
          <w:rFonts w:ascii="Times New Roman" w:eastAsia="Times New Roman" w:hAnsi="Times New Roman"/>
          <w:sz w:val="24"/>
          <w:szCs w:val="24"/>
        </w:rPr>
        <w:t>В соответствии с пунктом 5 статьи 11 Федерального закона от 28 июня 2014 г. №172-ФЗ «О стратегическом планировании в Российской Федерации» в отчетном периоде на уровне МО «</w:t>
      </w:r>
      <w:proofErr w:type="spellStart"/>
      <w:r w:rsidRPr="00BE7D7C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BE7D7C">
        <w:rPr>
          <w:rFonts w:ascii="Times New Roman" w:eastAsia="Times New Roman" w:hAnsi="Times New Roman"/>
          <w:sz w:val="24"/>
          <w:szCs w:val="24"/>
        </w:rPr>
        <w:t xml:space="preserve"> район» РА разработано и реализуется </w:t>
      </w:r>
      <w:r w:rsidRPr="00BE7D7C">
        <w:rPr>
          <w:rFonts w:ascii="Times New Roman" w:eastAsia="Times New Roman" w:hAnsi="Times New Roman"/>
          <w:b/>
          <w:bCs/>
          <w:sz w:val="24"/>
          <w:szCs w:val="24"/>
        </w:rPr>
        <w:t xml:space="preserve">15 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документов стратегического планирования, в том числе </w:t>
      </w:r>
      <w:r w:rsidRPr="00BE7D7C">
        <w:rPr>
          <w:rFonts w:ascii="Times New Roman" w:eastAsia="Times New Roman" w:hAnsi="Times New Roman"/>
          <w:b/>
          <w:bCs/>
          <w:sz w:val="24"/>
          <w:szCs w:val="24"/>
        </w:rPr>
        <w:t xml:space="preserve">7 </w:t>
      </w:r>
      <w:r w:rsidRPr="00BE7D7C">
        <w:rPr>
          <w:rFonts w:ascii="Times New Roman" w:eastAsia="Times New Roman" w:hAnsi="Times New Roman"/>
          <w:sz w:val="24"/>
          <w:szCs w:val="24"/>
        </w:rPr>
        <w:t>документов уровня муниципального района, 8 документов уровня сельских поселений.</w:t>
      </w:r>
    </w:p>
    <w:p w:rsidR="00F51673" w:rsidRPr="00BE7D7C" w:rsidRDefault="00F51673" w:rsidP="00F516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D7C">
        <w:rPr>
          <w:rFonts w:ascii="Times New Roman" w:eastAsia="Times New Roman" w:hAnsi="Times New Roman"/>
          <w:sz w:val="24"/>
          <w:szCs w:val="24"/>
        </w:rPr>
        <w:lastRenderedPageBreak/>
        <w:t>В течение отчетного периода в документы стратегического планирования МО</w:t>
      </w:r>
      <w:r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район” РА внесено 10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изменений. Внесения изменений в документы стратегического планирования обусловлены приведением ресурсного обеспечения в соответствие с изменениями бюджета. Более подробная информация представлена в таблице.</w:t>
      </w:r>
    </w:p>
    <w:p w:rsidR="00F51673" w:rsidRPr="00BE7D7C" w:rsidRDefault="00F51673" w:rsidP="00F5167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E7D7C">
        <w:rPr>
          <w:rFonts w:ascii="Times New Roman" w:eastAsia="Times New Roman" w:hAnsi="Times New Roman"/>
          <w:sz w:val="24"/>
          <w:szCs w:val="24"/>
        </w:rPr>
        <w:t>Реестр документов стратегического планирования МО «</w:t>
      </w:r>
      <w:proofErr w:type="spellStart"/>
      <w:r w:rsidRPr="00BE7D7C">
        <w:rPr>
          <w:rFonts w:ascii="Times New Roman" w:eastAsia="Times New Roman" w:hAnsi="Times New Roman"/>
          <w:sz w:val="24"/>
          <w:szCs w:val="24"/>
        </w:rPr>
        <w:t>Чемальский</w:t>
      </w:r>
      <w:proofErr w:type="spellEnd"/>
      <w:r w:rsidRPr="00BE7D7C">
        <w:rPr>
          <w:rFonts w:ascii="Times New Roman" w:eastAsia="Times New Roman" w:hAnsi="Times New Roman"/>
          <w:sz w:val="24"/>
          <w:szCs w:val="24"/>
        </w:rPr>
        <w:t xml:space="preserve"> район» РА</w:t>
      </w:r>
      <w:r w:rsidRPr="00BE7D7C">
        <w:rPr>
          <w:rFonts w:ascii="Times New Roman" w:hAnsi="Times New Roman"/>
          <w:sz w:val="24"/>
          <w:szCs w:val="24"/>
        </w:rPr>
        <w:br/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на 01.</w:t>
      </w:r>
      <w:r>
        <w:rPr>
          <w:rFonts w:ascii="Times New Roman" w:eastAsia="Times New Roman" w:hAnsi="Times New Roman"/>
          <w:sz w:val="24"/>
          <w:szCs w:val="24"/>
        </w:rPr>
        <w:t>01</w:t>
      </w:r>
      <w:r w:rsidRPr="00BE7D7C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г. </w:t>
      </w:r>
    </w:p>
    <w:tbl>
      <w:tblPr>
        <w:tblStyle w:val="a7"/>
        <w:tblW w:w="0" w:type="auto"/>
        <w:tblLayout w:type="fixed"/>
        <w:tblLook w:val="04A0"/>
      </w:tblPr>
      <w:tblGrid>
        <w:gridCol w:w="510"/>
        <w:gridCol w:w="1380"/>
        <w:gridCol w:w="1305"/>
        <w:gridCol w:w="1515"/>
        <w:gridCol w:w="825"/>
        <w:gridCol w:w="1474"/>
        <w:gridCol w:w="1168"/>
        <w:gridCol w:w="1168"/>
      </w:tblGrid>
      <w:tr w:rsidR="00F51673" w:rsidRPr="00BE7D7C" w:rsidTr="00B93271">
        <w:tc>
          <w:tcPr>
            <w:tcW w:w="510" w:type="dxa"/>
            <w:vMerge w:val="restart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80" w:type="dxa"/>
            <w:vMerge w:val="restart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Наименование документа стратегического планирования</w:t>
            </w:r>
          </w:p>
        </w:tc>
        <w:tc>
          <w:tcPr>
            <w:tcW w:w="1305" w:type="dxa"/>
            <w:vMerge w:val="restart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муниципальных документов стратегического планирования</w:t>
            </w:r>
          </w:p>
        </w:tc>
        <w:tc>
          <w:tcPr>
            <w:tcW w:w="4982" w:type="dxa"/>
            <w:gridSpan w:val="4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муниципального нормативного правового акта </w:t>
            </w:r>
          </w:p>
        </w:tc>
        <w:tc>
          <w:tcPr>
            <w:tcW w:w="1168" w:type="dxa"/>
            <w:vMerge w:val="restart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Ссылка о размещении в сети «Интернет»</w:t>
            </w:r>
          </w:p>
        </w:tc>
      </w:tr>
      <w:tr w:rsidR="00F51673" w:rsidRPr="00BE7D7C" w:rsidTr="00B93271">
        <w:tc>
          <w:tcPr>
            <w:tcW w:w="510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об утверждении документа стратегического планирования (вид НПА, дата, номер, наименование)</w:t>
            </w:r>
          </w:p>
        </w:tc>
        <w:tc>
          <w:tcPr>
            <w:tcW w:w="3467" w:type="dxa"/>
            <w:gridSpan w:val="3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о внесении изменений в документы стратегического планирования в отчетном периоде</w:t>
            </w:r>
          </w:p>
        </w:tc>
        <w:tc>
          <w:tcPr>
            <w:tcW w:w="1168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73" w:rsidRPr="00BE7D7C" w:rsidTr="00B93271">
        <w:tc>
          <w:tcPr>
            <w:tcW w:w="510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Реквизиты </w:t>
            </w:r>
            <w:r w:rsidRPr="00BE7D7C">
              <w:rPr>
                <w:rFonts w:ascii="Times New Roman" w:hAnsi="Times New Roman"/>
                <w:sz w:val="24"/>
                <w:szCs w:val="24"/>
              </w:rPr>
              <w:br/>
            </w: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(вид НПА, дата, номер, наименование)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Дата государственной регистрации (внесения изменений в запись реестра) документов стратегического планирования в ФИС СП</w:t>
            </w:r>
          </w:p>
        </w:tc>
        <w:tc>
          <w:tcPr>
            <w:tcW w:w="1168" w:type="dxa"/>
            <w:vMerge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Стратегия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социально-экономического развития </w:t>
            </w: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период до 2035 года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2018-2035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 25.12.2018 г. № 4-31 «Об утверждении Стратегии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социально-экономического развития муниципального образования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период до 2035 года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http://www.chemal-altai.ru/index.php/e</w:t>
              </w:r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lastRenderedPageBreak/>
                <w:t>konomika/dokumenty-strategicheskogo-planirovaniya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мероприятий по реализации Стратегии социально-экономического развития муниципального образования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период до 2035 года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До 2035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30.12.2019 г. № 207 «Об утверждении Плана мероприятий по реализации Стратегии социально-экономического развития муниципального образования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период до 2035 года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0B59A5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http://www.chemal-altai.ru/index.php/95-uncategorised/6447-plan-realizatsii-strategii</w:t>
              </w:r>
            </w:hyperlink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Прогноз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социально-экономического развития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на 2020 год и плановый период 2021 и 2022 годов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18.09.2019  г. № 130 «О прогнозе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социально-экономического развития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</w:t>
            </w:r>
          </w:p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на 2020 год и плановый период 2021 и 2022 годов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http://www.chemal-altai.ru/index.php/95-uncategorised/4723-prognoz-ser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Социальное развитие МО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2020-2025 годы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13.12.2019 г № 175 «Об утверждении МП «Социальное развитие МО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2020-2025 годы»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04.02.2020 г, </w:t>
            </w: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http://www.chemal-altai.ru/index.php/95-uncategorised/2196-munitsipalnaya-programma-sotsialnoe-razvitie-mo-chemalskij-rajon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от 04.03.2020 </w:t>
            </w: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г. №24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26.03.2020 г,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Постановление от 03.09.2020 г. № 103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30.09.2020 г,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Постановление от 25.09.2020 г. № 127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12.10.2020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Постановление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30.12.2021 №206</w:t>
            </w:r>
          </w:p>
        </w:tc>
        <w:tc>
          <w:tcPr>
            <w:tcW w:w="1168" w:type="dxa"/>
          </w:tcPr>
          <w:p w:rsidR="00F51673" w:rsidRPr="0008351A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51A">
              <w:rPr>
                <w:rFonts w:ascii="Times New Roman" w:hAnsi="Times New Roman"/>
                <w:sz w:val="24"/>
                <w:szCs w:val="24"/>
              </w:rPr>
              <w:t>27.01.2021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72E">
              <w:rPr>
                <w:rFonts w:ascii="Times New Roman" w:eastAsia="Times New Roman" w:hAnsi="Times New Roman"/>
                <w:sz w:val="24"/>
                <w:szCs w:val="24"/>
              </w:rPr>
              <w:t>http://www.chemal-altai.ru/images/doc/Post30.12.2020_206-socrazv.pdf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Развитие экономики и малого и среднего предпринимательства в МО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2020-2025 годы»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13.12.2019 г. № 177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28.02.2020 г, </w:t>
            </w: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http://www.chemal-altai.ru/index.php/95-uncategorised/4721-munitsipalnye-programmy-2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17.08.2020 г. № 96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20.08.2020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Постановле</w:t>
            </w: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30.12.2021  №201</w:t>
            </w:r>
          </w:p>
        </w:tc>
        <w:tc>
          <w:tcPr>
            <w:tcW w:w="1168" w:type="dxa"/>
          </w:tcPr>
          <w:p w:rsidR="00F51673" w:rsidRPr="00483E5D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E5D">
              <w:rPr>
                <w:rFonts w:ascii="Times New Roman" w:hAnsi="Times New Roman"/>
                <w:sz w:val="24"/>
                <w:szCs w:val="24"/>
              </w:rPr>
              <w:lastRenderedPageBreak/>
              <w:t>27.01.20</w:t>
            </w:r>
            <w:r w:rsidRPr="00483E5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27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http://ww</w:t>
            </w:r>
            <w:r w:rsidRPr="0065272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w.chemal-altai.ru/images/doc/Post_30.12.2020_201razvekon.pdf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муниципальными финансами и имуществом на 2020-2025 годы 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13.12.2019 г № 176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28.02.2020 г, </w:t>
            </w: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http://www.chemal-altai.ru/index.php/95-uncategorised/2198-munitsipalnaya-programma-upravlenie-munitsipalnymi-finansami-i-imushchestvom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18.03.2020 г. № 37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15.06.2020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30.12.2021 №207</w:t>
            </w:r>
          </w:p>
        </w:tc>
        <w:tc>
          <w:tcPr>
            <w:tcW w:w="1168" w:type="dxa"/>
          </w:tcPr>
          <w:p w:rsidR="00F51673" w:rsidRPr="008848CF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CF">
              <w:rPr>
                <w:rFonts w:ascii="Times New Roman" w:hAnsi="Times New Roman"/>
                <w:sz w:val="24"/>
                <w:szCs w:val="24"/>
              </w:rPr>
              <w:lastRenderedPageBreak/>
              <w:t>11.02.2021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41A">
              <w:rPr>
                <w:rFonts w:ascii="Times New Roman" w:eastAsia="Times New Roman" w:hAnsi="Times New Roman"/>
                <w:sz w:val="24"/>
                <w:szCs w:val="24"/>
              </w:rPr>
              <w:t>http://www.chemal-altai.ru/images/doc/Post_30</w:t>
            </w:r>
            <w:r w:rsidRPr="00BF64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.12.2020_207upravfin.pdf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Развитие систем жизнеобеспечения МО «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Чемальский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на 2020-2025 годы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2020-2025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13.12.2019 г № 174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F51673" w:rsidRPr="00BE7D7C" w:rsidRDefault="002F51B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>
              <w:r w:rsidR="00F51673" w:rsidRPr="00BE7D7C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http://www.chemal-altai.ru/index.php/95-uncategorised/5466-munitsipalnaya-programma-razvitie-sistem-zhizneobespecheniya-2020-2025</w:t>
              </w:r>
            </w:hyperlink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 18.03.2020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г.№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03.04.2020 г.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rPr>
          <w:trHeight w:val="1833"/>
        </w:trPr>
        <w:tc>
          <w:tcPr>
            <w:tcW w:w="51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30.12.2021 №202</w:t>
            </w:r>
          </w:p>
        </w:tc>
        <w:tc>
          <w:tcPr>
            <w:tcW w:w="1168" w:type="dxa"/>
          </w:tcPr>
          <w:p w:rsidR="00F51673" w:rsidRPr="008848CF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8CF">
              <w:rPr>
                <w:rFonts w:ascii="Times New Roman" w:hAnsi="Times New Roman"/>
                <w:sz w:val="24"/>
                <w:szCs w:val="24"/>
              </w:rPr>
              <w:t>03.02.2021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68" w:type="dxa"/>
          </w:tcPr>
          <w:p w:rsidR="00F51673" w:rsidRDefault="002F51B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4" w:history="1">
              <w:r w:rsidR="00F51673" w:rsidRPr="00301BEF">
                <w:rPr>
                  <w:rStyle w:val="aa"/>
                  <w:rFonts w:ascii="Times New Roman" w:eastAsia="Times New Roman" w:hAnsi="Times New Roman"/>
                  <w:sz w:val="24"/>
                  <w:szCs w:val="24"/>
                </w:rPr>
                <w:t>http://www.chemal-altai.ru/images/doc/Post_30.12.2020_202razvitsisobis.pdf</w:t>
              </w:r>
            </w:hyperlink>
          </w:p>
          <w:p w:rsidR="00F51673" w:rsidRPr="00BE7D7C" w:rsidRDefault="00F51673" w:rsidP="00B9327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"Формирование современной городской среды МО "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 на 2018 - 2022 годы 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2018-2022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сельской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 от 15.11.2019 г. № 30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10.08.2020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"Обеспечение безопасности населения МО "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Чемальское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СП" на 2020-2025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сельской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Чемальского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 от 17.02.2020 г. № 15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23.07.2020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Элекмонарского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 СП"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сельской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Элекмонарского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от 22.10.2014 г .№ 224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Узнезинского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 СП"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сельской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Узнезинского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от </w:t>
            </w: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07.11.2014 г. 131-а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Бешпельтирского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СП"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сельской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Бешпельтирского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от15.12.2014 г. № 45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29.09.2020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Комплексное совершенствование социально-экономических процессов МО "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Куюсское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СП" на 2015-2020 г.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Главы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Куюсского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 от 25.09.2014 г. №49/1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24.09.2020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Комплексное развитие территории сельского поселения "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Чепошское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СП"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2015-2020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Чепошского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 от 30.09.2014 г. № 117-2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03.12.2020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 xml:space="preserve"> сроки</w:t>
            </w:r>
          </w:p>
        </w:tc>
      </w:tr>
      <w:tr w:rsidR="00F51673" w:rsidRPr="00BE7D7C" w:rsidTr="00B93271">
        <w:tc>
          <w:tcPr>
            <w:tcW w:w="510" w:type="dxa"/>
          </w:tcPr>
          <w:p w:rsidR="00F51673" w:rsidRPr="00BE7D7C" w:rsidRDefault="00F51673" w:rsidP="00B93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0" w:type="dxa"/>
          </w:tcPr>
          <w:p w:rsidR="00F51673" w:rsidRPr="00BE7D7C" w:rsidRDefault="00F51673" w:rsidP="00B93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Профилактика терроризма и экстремизма на территории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Аносинского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 на 2019-2021 годы»</w:t>
            </w:r>
          </w:p>
        </w:tc>
        <w:tc>
          <w:tcPr>
            <w:tcW w:w="1305" w:type="dxa"/>
          </w:tcPr>
          <w:p w:rsidR="00F51673" w:rsidRPr="00BE7D7C" w:rsidRDefault="00F51673" w:rsidP="00B93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515" w:type="dxa"/>
          </w:tcPr>
          <w:p w:rsidR="00F51673" w:rsidRPr="00BE7D7C" w:rsidRDefault="00F51673" w:rsidP="00B93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Аносинского</w:t>
            </w:r>
            <w:proofErr w:type="spellEnd"/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 xml:space="preserve"> СП от 24.12.2018 №74</w:t>
            </w:r>
          </w:p>
        </w:tc>
        <w:tc>
          <w:tcPr>
            <w:tcW w:w="825" w:type="dxa"/>
          </w:tcPr>
          <w:p w:rsidR="00F51673" w:rsidRPr="00BE7D7C" w:rsidRDefault="00F51673" w:rsidP="00B93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F51673" w:rsidRPr="00BE7D7C" w:rsidRDefault="00F51673" w:rsidP="00B93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eastAsia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168" w:type="dxa"/>
          </w:tcPr>
          <w:p w:rsidR="00F51673" w:rsidRPr="00BE7D7C" w:rsidRDefault="00F51673" w:rsidP="00B932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D7C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</w:tbl>
    <w:p w:rsidR="00F51673" w:rsidRPr="00BE7D7C" w:rsidRDefault="00F51673" w:rsidP="00F5167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F51673" w:rsidRPr="00BE7D7C" w:rsidRDefault="00F51673" w:rsidP="00F5167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7D7C">
        <w:rPr>
          <w:rFonts w:ascii="Times New Roman" w:eastAsia="Times New Roman" w:hAnsi="Times New Roman"/>
          <w:sz w:val="24"/>
          <w:szCs w:val="24"/>
        </w:rPr>
        <w:t>По итогам на 01.</w:t>
      </w:r>
      <w:r>
        <w:rPr>
          <w:rFonts w:ascii="Times New Roman" w:eastAsia="Times New Roman" w:hAnsi="Times New Roman"/>
          <w:sz w:val="24"/>
          <w:szCs w:val="24"/>
        </w:rPr>
        <w:t>01.2021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г. полнота внесения муниципальным образованием сведений по документам стратегического планирования в ФИС СП составила 100 %. В сравнении с планом на 01.</w:t>
      </w:r>
      <w:r>
        <w:rPr>
          <w:rFonts w:ascii="Times New Roman" w:eastAsia="Times New Roman" w:hAnsi="Times New Roman"/>
          <w:sz w:val="24"/>
          <w:szCs w:val="24"/>
        </w:rPr>
        <w:t>01</w:t>
      </w:r>
      <w:r w:rsidRPr="00BE7D7C">
        <w:rPr>
          <w:rFonts w:ascii="Times New Roman" w:eastAsia="Times New Roman" w:hAnsi="Times New Roman"/>
          <w:sz w:val="24"/>
          <w:szCs w:val="24"/>
        </w:rPr>
        <w:t>.20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г. отклонений не отмечено. </w:t>
      </w:r>
    </w:p>
    <w:p w:rsidR="00F51673" w:rsidRPr="00BE7D7C" w:rsidRDefault="00F51673" w:rsidP="00F5167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итогам на 01.10.2021</w:t>
      </w:r>
      <w:r w:rsidRPr="00BE7D7C">
        <w:rPr>
          <w:rFonts w:ascii="Times New Roman" w:eastAsia="Times New Roman" w:hAnsi="Times New Roman"/>
          <w:sz w:val="24"/>
          <w:szCs w:val="24"/>
        </w:rPr>
        <w:t xml:space="preserve"> г. полнота внесения сельскими поселениями сведений по документам стратегического планирования в ФИС СП составила </w:t>
      </w:r>
      <w:r>
        <w:rPr>
          <w:rFonts w:ascii="Times New Roman" w:eastAsia="Times New Roman" w:hAnsi="Times New Roman"/>
          <w:sz w:val="24"/>
          <w:szCs w:val="24"/>
        </w:rPr>
        <w:t>100</w:t>
      </w:r>
      <w:r w:rsidRPr="00BE7D7C">
        <w:rPr>
          <w:rFonts w:ascii="Times New Roman" w:eastAsia="Times New Roman" w:hAnsi="Times New Roman"/>
          <w:sz w:val="24"/>
          <w:szCs w:val="24"/>
        </w:rPr>
        <w:t>%. В сравнении с планом на 01.10.2020 г. отклонений не отмечено.</w:t>
      </w:r>
    </w:p>
    <w:p w:rsidR="009A3435" w:rsidRPr="00C60298" w:rsidRDefault="009A3435" w:rsidP="00F51673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sectPr w:rsidR="009A3435" w:rsidRPr="00C60298" w:rsidSect="009A343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E1E"/>
    <w:multiLevelType w:val="hybridMultilevel"/>
    <w:tmpl w:val="9BF200A6"/>
    <w:lvl w:ilvl="0" w:tplc="288A8A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F2C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88C6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2D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60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C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8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6B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AD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2EC7"/>
    <w:multiLevelType w:val="hybridMultilevel"/>
    <w:tmpl w:val="8592C4CC"/>
    <w:lvl w:ilvl="0" w:tplc="6EAE8128">
      <w:start w:val="1"/>
      <w:numFmt w:val="decimal"/>
      <w:lvlText w:val="%1."/>
      <w:lvlJc w:val="left"/>
      <w:pPr>
        <w:ind w:left="720" w:hanging="360"/>
      </w:pPr>
    </w:lvl>
    <w:lvl w:ilvl="1" w:tplc="65E20A8E">
      <w:start w:val="1"/>
      <w:numFmt w:val="lowerLetter"/>
      <w:lvlText w:val="%2."/>
      <w:lvlJc w:val="left"/>
      <w:pPr>
        <w:ind w:left="1440" w:hanging="360"/>
      </w:pPr>
    </w:lvl>
    <w:lvl w:ilvl="2" w:tplc="66345B06">
      <w:start w:val="1"/>
      <w:numFmt w:val="lowerRoman"/>
      <w:lvlText w:val="%3."/>
      <w:lvlJc w:val="right"/>
      <w:pPr>
        <w:ind w:left="2160" w:hanging="180"/>
      </w:pPr>
    </w:lvl>
    <w:lvl w:ilvl="3" w:tplc="6A165F46">
      <w:start w:val="1"/>
      <w:numFmt w:val="decimal"/>
      <w:lvlText w:val="%4."/>
      <w:lvlJc w:val="left"/>
      <w:pPr>
        <w:ind w:left="2880" w:hanging="360"/>
      </w:pPr>
    </w:lvl>
    <w:lvl w:ilvl="4" w:tplc="72C6AF16">
      <w:start w:val="1"/>
      <w:numFmt w:val="lowerLetter"/>
      <w:lvlText w:val="%5."/>
      <w:lvlJc w:val="left"/>
      <w:pPr>
        <w:ind w:left="3600" w:hanging="360"/>
      </w:pPr>
    </w:lvl>
    <w:lvl w:ilvl="5" w:tplc="86FCF6C0">
      <w:start w:val="1"/>
      <w:numFmt w:val="lowerRoman"/>
      <w:lvlText w:val="%6."/>
      <w:lvlJc w:val="right"/>
      <w:pPr>
        <w:ind w:left="4320" w:hanging="180"/>
      </w:pPr>
    </w:lvl>
    <w:lvl w:ilvl="6" w:tplc="BB8ED346">
      <w:start w:val="1"/>
      <w:numFmt w:val="decimal"/>
      <w:lvlText w:val="%7."/>
      <w:lvlJc w:val="left"/>
      <w:pPr>
        <w:ind w:left="5040" w:hanging="360"/>
      </w:pPr>
    </w:lvl>
    <w:lvl w:ilvl="7" w:tplc="E1622B9E">
      <w:start w:val="1"/>
      <w:numFmt w:val="lowerLetter"/>
      <w:lvlText w:val="%8."/>
      <w:lvlJc w:val="left"/>
      <w:pPr>
        <w:ind w:left="5760" w:hanging="360"/>
      </w:pPr>
    </w:lvl>
    <w:lvl w:ilvl="8" w:tplc="CF6CD6D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A4CA0"/>
    <w:multiLevelType w:val="multilevel"/>
    <w:tmpl w:val="AEB252C4"/>
    <w:lvl w:ilvl="0">
      <w:start w:val="1"/>
      <w:numFmt w:val="bullet"/>
      <w:lvlText w:val="–"/>
      <w:lvlJc w:val="left"/>
      <w:pPr>
        <w:ind w:left="1428" w:hanging="360"/>
      </w:pPr>
      <w:rPr>
        <w:rFonts w:ascii="Poor Richard" w:hAnsi="Poor Richard" w:cs="Poor Richard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5B7174"/>
    <w:multiLevelType w:val="hybridMultilevel"/>
    <w:tmpl w:val="6FAEF8C8"/>
    <w:lvl w:ilvl="0" w:tplc="A10CDB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AC2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2A8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BA4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40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FAE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84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AD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CF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45E61"/>
    <w:multiLevelType w:val="hybridMultilevel"/>
    <w:tmpl w:val="DEDC3436"/>
    <w:lvl w:ilvl="0" w:tplc="83140B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2CA2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A5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0D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E1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C9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04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0C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E2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5635E"/>
    <w:multiLevelType w:val="multilevel"/>
    <w:tmpl w:val="9C863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AF7010"/>
    <w:multiLevelType w:val="hybridMultilevel"/>
    <w:tmpl w:val="3BF21C60"/>
    <w:lvl w:ilvl="0" w:tplc="E0189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AA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7E4A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EC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ED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23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65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A8A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342F4"/>
    <w:multiLevelType w:val="hybridMultilevel"/>
    <w:tmpl w:val="B704A054"/>
    <w:lvl w:ilvl="0" w:tplc="1E2A87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AE3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EAB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2C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E1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8E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0A0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0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C1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2C6C75CE"/>
    <w:rsid w:val="002F51B3"/>
    <w:rsid w:val="003B1AE1"/>
    <w:rsid w:val="003E0316"/>
    <w:rsid w:val="00451857"/>
    <w:rsid w:val="0047432D"/>
    <w:rsid w:val="00596A25"/>
    <w:rsid w:val="008211A9"/>
    <w:rsid w:val="00836935"/>
    <w:rsid w:val="00846A7E"/>
    <w:rsid w:val="009A3435"/>
    <w:rsid w:val="00C14DC5"/>
    <w:rsid w:val="00C60298"/>
    <w:rsid w:val="00CA158B"/>
    <w:rsid w:val="00E849D2"/>
    <w:rsid w:val="00F35956"/>
    <w:rsid w:val="00F51673"/>
    <w:rsid w:val="00F530F1"/>
    <w:rsid w:val="054DC3D3"/>
    <w:rsid w:val="09C8E9A6"/>
    <w:rsid w:val="0F08A268"/>
    <w:rsid w:val="1123B33B"/>
    <w:rsid w:val="124389E2"/>
    <w:rsid w:val="184F7DB3"/>
    <w:rsid w:val="1BD74891"/>
    <w:rsid w:val="28D8162F"/>
    <w:rsid w:val="2C6C75CE"/>
    <w:rsid w:val="2C883BF4"/>
    <w:rsid w:val="2FDEA66B"/>
    <w:rsid w:val="317BCCA1"/>
    <w:rsid w:val="35EC10AA"/>
    <w:rsid w:val="3BEE6FAD"/>
    <w:rsid w:val="42E087FF"/>
    <w:rsid w:val="4D456D65"/>
    <w:rsid w:val="51EA18DF"/>
    <w:rsid w:val="54CF1A9B"/>
    <w:rsid w:val="57C88B9D"/>
    <w:rsid w:val="5B0AE120"/>
    <w:rsid w:val="5BE55018"/>
    <w:rsid w:val="5C4D6B08"/>
    <w:rsid w:val="615AE88D"/>
    <w:rsid w:val="6792D436"/>
    <w:rsid w:val="73903169"/>
    <w:rsid w:val="74F23B10"/>
    <w:rsid w:val="7A76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5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A3435"/>
    <w:rPr>
      <w:rFonts w:ascii="Symbol" w:hAnsi="Symbol" w:cs="Symbol"/>
    </w:rPr>
  </w:style>
  <w:style w:type="character" w:customStyle="1" w:styleId="WW8Num1z1">
    <w:name w:val="WW8Num1z1"/>
    <w:qFormat/>
    <w:rsid w:val="009A3435"/>
    <w:rPr>
      <w:rFonts w:ascii="Wingdings" w:hAnsi="Wingdings" w:cs="Wingdings"/>
    </w:rPr>
  </w:style>
  <w:style w:type="character" w:customStyle="1" w:styleId="WW8Num2z0">
    <w:name w:val="WW8Num2z0"/>
    <w:qFormat/>
    <w:rsid w:val="009A3435"/>
    <w:rPr>
      <w:rFonts w:ascii="Poor Richard" w:hAnsi="Poor Richard" w:cs="Poor Richard"/>
    </w:rPr>
  </w:style>
  <w:style w:type="character" w:customStyle="1" w:styleId="WW8Num2z1">
    <w:name w:val="WW8Num2z1"/>
    <w:qFormat/>
    <w:rsid w:val="009A3435"/>
    <w:rPr>
      <w:rFonts w:ascii="Courier New" w:hAnsi="Courier New" w:cs="Courier New"/>
    </w:rPr>
  </w:style>
  <w:style w:type="character" w:customStyle="1" w:styleId="WW8Num2z2">
    <w:name w:val="WW8Num2z2"/>
    <w:qFormat/>
    <w:rsid w:val="009A3435"/>
    <w:rPr>
      <w:rFonts w:ascii="Wingdings" w:hAnsi="Wingdings" w:cs="Wingdings"/>
    </w:rPr>
  </w:style>
  <w:style w:type="character" w:customStyle="1" w:styleId="WW8Num2z3">
    <w:name w:val="WW8Num2z3"/>
    <w:qFormat/>
    <w:rsid w:val="009A3435"/>
    <w:rPr>
      <w:rFonts w:ascii="Symbol" w:hAnsi="Symbol" w:cs="Symbol"/>
    </w:rPr>
  </w:style>
  <w:style w:type="character" w:customStyle="1" w:styleId="ConsPlusNormal">
    <w:name w:val="ConsPlusNormal Знак"/>
    <w:qFormat/>
    <w:rsid w:val="009A3435"/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Heading">
    <w:name w:val="Heading"/>
    <w:basedOn w:val="a"/>
    <w:next w:val="a3"/>
    <w:qFormat/>
    <w:rsid w:val="009A3435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9A3435"/>
    <w:pPr>
      <w:spacing w:after="140"/>
    </w:pPr>
  </w:style>
  <w:style w:type="paragraph" w:styleId="a4">
    <w:name w:val="List"/>
    <w:basedOn w:val="a3"/>
    <w:rsid w:val="009A3435"/>
  </w:style>
  <w:style w:type="paragraph" w:customStyle="1" w:styleId="Caption">
    <w:name w:val="Caption"/>
    <w:basedOn w:val="a"/>
    <w:qFormat/>
    <w:rsid w:val="009A34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9A3435"/>
    <w:pPr>
      <w:suppressLineNumbers/>
    </w:pPr>
  </w:style>
  <w:style w:type="paragraph" w:customStyle="1" w:styleId="ConsPlusNormal0">
    <w:name w:val="ConsPlusNormal"/>
    <w:qFormat/>
    <w:rsid w:val="009A3435"/>
    <w:pPr>
      <w:widowControl w:val="0"/>
      <w:autoSpaceDE w:val="0"/>
    </w:pPr>
    <w:rPr>
      <w:rFonts w:eastAsia="Times New Roman" w:cs="Times New Roman"/>
      <w:sz w:val="28"/>
      <w:szCs w:val="20"/>
      <w:lang w:val="ru-RU" w:bidi="ar-SA"/>
    </w:rPr>
  </w:style>
  <w:style w:type="paragraph" w:styleId="a5">
    <w:name w:val="Normal (Web)"/>
    <w:basedOn w:val="a"/>
    <w:qFormat/>
    <w:rsid w:val="009A343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9A3435"/>
    <w:pPr>
      <w:ind w:left="720"/>
      <w:contextualSpacing/>
    </w:pPr>
  </w:style>
  <w:style w:type="paragraph" w:customStyle="1" w:styleId="TableContents">
    <w:name w:val="Table Contents"/>
    <w:basedOn w:val="a"/>
    <w:qFormat/>
    <w:rsid w:val="009A3435"/>
    <w:pPr>
      <w:suppressLineNumbers/>
    </w:pPr>
  </w:style>
  <w:style w:type="paragraph" w:customStyle="1" w:styleId="TableHeading">
    <w:name w:val="Table Heading"/>
    <w:basedOn w:val="TableContents"/>
    <w:qFormat/>
    <w:rsid w:val="009A3435"/>
    <w:pPr>
      <w:jc w:val="center"/>
    </w:pPr>
    <w:rPr>
      <w:b/>
      <w:bCs/>
    </w:rPr>
  </w:style>
  <w:style w:type="numbering" w:customStyle="1" w:styleId="WW8Num1">
    <w:name w:val="WW8Num1"/>
    <w:qFormat/>
    <w:rsid w:val="009A3435"/>
  </w:style>
  <w:style w:type="numbering" w:customStyle="1" w:styleId="WW8Num2">
    <w:name w:val="WW8Num2"/>
    <w:qFormat/>
    <w:rsid w:val="009A3435"/>
  </w:style>
  <w:style w:type="table" w:styleId="a7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316"/>
    <w:rPr>
      <w:rFonts w:ascii="Tahoma" w:eastAsia="Calibri" w:hAnsi="Tahoma" w:cs="Tahoma"/>
      <w:sz w:val="16"/>
      <w:szCs w:val="16"/>
      <w:lang w:val="ru-RU" w:bidi="ar-SA"/>
    </w:rPr>
  </w:style>
  <w:style w:type="character" w:styleId="aa">
    <w:name w:val="Hyperlink"/>
    <w:basedOn w:val="a0"/>
    <w:uiPriority w:val="99"/>
    <w:unhideWhenUsed/>
    <w:rsid w:val="00F51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al-altai.ru/index.php/95-uncategorised/6447-plan-realizatsii-strategii" TargetMode="External"/><Relationship Id="rId13" Type="http://schemas.openxmlformats.org/officeDocument/2006/relationships/hyperlink" Target="http://www.chemal-altai.ru/index.php/95-uncategorised/5466-munitsipalnaya-programma-razvitie-sistem-zhizneobespecheniya-2020-202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hemal-altai.ru/index.php/ekonomika/dokumenty-strategicheskogo-planirovaniya" TargetMode="External"/><Relationship Id="rId12" Type="http://schemas.openxmlformats.org/officeDocument/2006/relationships/hyperlink" Target="http://www.chemal-altai.ru/index.php/95-uncategorised/2198-munitsipalnaya-programma-upravlenie-munitsipalnymi-finansami-i-imushchestv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://www.chemal-altai.ru/index.php/95-uncategorised/4721-munitsipalnye-programmy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hemal-altai.ru/index.php/95-uncategorised/2196-munitsipalnaya-programma-sotsialnoe-razvitie-mo-chemalskij-raj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mal-altai.ru/index.php/95-uncategorised/4723-prognoz-ser" TargetMode="External"/><Relationship Id="rId14" Type="http://schemas.openxmlformats.org/officeDocument/2006/relationships/hyperlink" Target="http://www.chemal-altai.ru/images/doc/Post_30.12.2020_202razvitsisobis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dLbl>
              <c:idx val="0"/>
              <c:layout>
                <c:manualLayout>
                  <c:x val="1.3888810765681568E-2"/>
                  <c:y val="-0.15592553135383186"/>
                </c:manualLayout>
              </c:layout>
              <c:showVal val="1"/>
            </c:dLbl>
            <c:dLbl>
              <c:idx val="1"/>
              <c:layout>
                <c:manualLayout>
                  <c:x val="1.6440091508614526E-2"/>
                  <c:y val="-9.4833816781815405E-2"/>
                </c:manualLayout>
              </c:layout>
              <c:showVal val="1"/>
            </c:dLbl>
            <c:dLbl>
              <c:idx val="2"/>
              <c:layout>
                <c:manualLayout>
                  <c:x val="1.1810621845552352E-2"/>
                  <c:y val="-0.12104382680238386"/>
                </c:manualLayout>
              </c:layout>
              <c:showVal val="1"/>
            </c:dLbl>
            <c:dLbl>
              <c:idx val="3"/>
              <c:layout>
                <c:manualLayout>
                  <c:x val="1.4125256232959659E-2"/>
                  <c:y val="-0.40880375507620931"/>
                </c:manualLayout>
              </c:layout>
              <c:showVal val="1"/>
            </c:dLbl>
            <c:dLbl>
              <c:idx val="4"/>
              <c:layout>
                <c:manualLayout>
                  <c:x val="1.8991372251547473E-2"/>
                  <c:y val="-0.18150477295501288"/>
                </c:manualLayout>
              </c:layout>
              <c:showVal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  <c:pt idx="4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171.1</c:v>
                </c:pt>
                <c:pt idx="1">
                  <c:v>62.2</c:v>
                </c:pt>
                <c:pt idx="2">
                  <c:v>103.2</c:v>
                </c:pt>
                <c:pt idx="3">
                  <c:v>952.6</c:v>
                </c:pt>
                <c:pt idx="4">
                  <c:v>277.2</c:v>
                </c:pt>
              </c:numCache>
            </c:numRef>
          </c:val>
        </c:ser>
        <c:shape val="box"/>
        <c:axId val="184760960"/>
        <c:axId val="265592832"/>
        <c:axId val="0"/>
      </c:bar3DChart>
      <c:catAx>
        <c:axId val="184760960"/>
        <c:scaling>
          <c:orientation val="minMax"/>
        </c:scaling>
        <c:axPos val="b"/>
        <c:tickLblPos val="nextTo"/>
        <c:crossAx val="265592832"/>
        <c:crosses val="autoZero"/>
        <c:auto val="1"/>
        <c:lblAlgn val="ctr"/>
        <c:lblOffset val="100"/>
      </c:catAx>
      <c:valAx>
        <c:axId val="265592832"/>
        <c:scaling>
          <c:orientation val="minMax"/>
        </c:scaling>
        <c:axPos val="l"/>
        <c:majorGridlines/>
        <c:numFmt formatCode="General" sourceLinked="1"/>
        <c:tickLblPos val="nextTo"/>
        <c:crossAx val="18476096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F9D36-15DD-4EAE-8192-CDDDE4BD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27</Pages>
  <Words>7745</Words>
  <Characters>44151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Kandarakov</dc:creator>
  <cp:keywords/>
  <dc:description/>
  <cp:lastModifiedBy>User</cp:lastModifiedBy>
  <cp:revision>57</cp:revision>
  <dcterms:created xsi:type="dcterms:W3CDTF">2020-05-18T12:19:00Z</dcterms:created>
  <dcterms:modified xsi:type="dcterms:W3CDTF">2021-08-12T07:57:00Z</dcterms:modified>
  <dc:language>en-US</dc:language>
</cp:coreProperties>
</file>