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F2C6DF2" w:rsidRPr="009B53A1" w:rsidRDefault="00E76C00" w:rsidP="00615D35">
      <w:pPr>
        <w:spacing w:after="0"/>
        <w:jc w:val="center"/>
        <w:rPr>
          <w:rFonts w:ascii="Times New Roman" w:hAnsi="Times New Roman"/>
          <w:b/>
          <w:bCs/>
          <w:sz w:val="24"/>
          <w:szCs w:val="24"/>
        </w:rPr>
      </w:pPr>
      <w:r w:rsidRPr="009B53A1">
        <w:rPr>
          <w:rFonts w:ascii="Times New Roman" w:hAnsi="Times New Roman"/>
          <w:b/>
          <w:bCs/>
          <w:sz w:val="24"/>
          <w:szCs w:val="24"/>
        </w:rPr>
        <w:t>Аналитическая записка к мониторингу социально-экономического развития муниципального образования «Онгудайский район» на 01.07.2019 г.</w:t>
      </w:r>
    </w:p>
    <w:p w:rsidR="0F2C6DF2" w:rsidRPr="009C12A8" w:rsidRDefault="1AB1A024"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МО «Чемальский район» расположен в </w:t>
      </w:r>
      <w:r w:rsidRPr="009C12A8">
        <w:rPr>
          <w:rFonts w:ascii="Times New Roman" w:eastAsia="Times New Roman" w:hAnsi="Times New Roman"/>
          <w:iCs/>
          <w:sz w:val="24"/>
          <w:szCs w:val="24"/>
        </w:rPr>
        <w:t>горно-степной зоне западной</w:t>
      </w:r>
      <w:r w:rsidRPr="009C12A8">
        <w:rPr>
          <w:rFonts w:ascii="Times New Roman" w:eastAsia="Times New Roman" w:hAnsi="Times New Roman"/>
          <w:sz w:val="24"/>
          <w:szCs w:val="24"/>
        </w:rPr>
        <w:t xml:space="preserve"> части Республики Алтай. Площадь территории муниципального образования составляет 3019 км² (3,26 % от площади республики).</w:t>
      </w:r>
    </w:p>
    <w:p w:rsidR="0F2C6DF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состав входят 7 сельских поселений, 19 населенных пунктов. Административный центр – с</w:t>
      </w:r>
      <w:r w:rsidR="00D57793">
        <w:rPr>
          <w:rFonts w:ascii="Times New Roman" w:eastAsia="Times New Roman" w:hAnsi="Times New Roman"/>
          <w:sz w:val="24"/>
          <w:szCs w:val="24"/>
        </w:rPr>
        <w:t>.</w:t>
      </w:r>
      <w:r w:rsidRPr="009C12A8">
        <w:rPr>
          <w:rFonts w:ascii="Times New Roman" w:eastAsia="Times New Roman" w:hAnsi="Times New Roman"/>
          <w:sz w:val="24"/>
          <w:szCs w:val="24"/>
        </w:rPr>
        <w:t xml:space="preserve"> Чемал находится на расстоянии 105 км от республиканского центра г. Горно-Алтайска.</w:t>
      </w:r>
    </w:p>
    <w:p w:rsidR="0F2C6DF2" w:rsidRPr="009C12A8" w:rsidRDefault="01873726" w:rsidP="00055A4C">
      <w:pPr>
        <w:spacing w:after="0"/>
        <w:ind w:firstLine="567"/>
        <w:jc w:val="both"/>
        <w:rPr>
          <w:rFonts w:ascii="Times New Roman" w:hAnsi="Times New Roman"/>
          <w:sz w:val="24"/>
          <w:szCs w:val="24"/>
        </w:rPr>
      </w:pPr>
      <w:r w:rsidRPr="009C12A8">
        <w:rPr>
          <w:rFonts w:ascii="Times New Roman" w:hAnsi="Times New Roman"/>
          <w:sz w:val="24"/>
          <w:szCs w:val="24"/>
        </w:rPr>
        <w:t>Оценка численности постоянного населения муниципального образования на 01.01.2019 г. составила 10505 чел. Плотность населения муниципального образования – 3,5 чел. на 1 км</w:t>
      </w:r>
      <w:r w:rsidRPr="009C12A8">
        <w:rPr>
          <w:rFonts w:ascii="Times New Roman" w:hAnsi="Times New Roman"/>
          <w:sz w:val="24"/>
          <w:szCs w:val="24"/>
          <w:vertAlign w:val="superscript"/>
        </w:rPr>
        <w:t>2</w:t>
      </w:r>
      <w:r w:rsidRPr="009C12A8">
        <w:rPr>
          <w:rFonts w:ascii="Times New Roman" w:hAnsi="Times New Roman"/>
          <w:sz w:val="24"/>
          <w:szCs w:val="24"/>
        </w:rPr>
        <w:t>.</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hAnsi="Times New Roman"/>
          <w:sz w:val="24"/>
          <w:szCs w:val="24"/>
        </w:rPr>
        <w:t xml:space="preserve">Мониторинг социально-экономического развития МО «Чемальский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«Чемальский район» от </w:t>
      </w:r>
      <w:r w:rsidRPr="009C12A8">
        <w:rPr>
          <w:rFonts w:ascii="Times New Roman" w:eastAsia="Times New Roman" w:hAnsi="Times New Roman"/>
          <w:sz w:val="24"/>
          <w:szCs w:val="24"/>
        </w:rPr>
        <w:t xml:space="preserve">23.04.2019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112-р.</w:t>
      </w:r>
    </w:p>
    <w:p w:rsidR="00650238" w:rsidRPr="008A3BFC" w:rsidRDefault="00650238" w:rsidP="00055A4C">
      <w:pPr>
        <w:spacing w:after="0"/>
        <w:ind w:firstLine="709"/>
        <w:jc w:val="center"/>
        <w:rPr>
          <w:rFonts w:ascii="Times New Roman" w:hAnsi="Times New Roman"/>
          <w:b/>
          <w:sz w:val="24"/>
          <w:szCs w:val="24"/>
        </w:rPr>
      </w:pPr>
      <w:r w:rsidRPr="008A3BFC">
        <w:rPr>
          <w:rFonts w:ascii="Times New Roman" w:eastAsia="Times New Roman" w:hAnsi="Times New Roman"/>
          <w:b/>
          <w:bCs/>
          <w:sz w:val="24"/>
          <w:szCs w:val="24"/>
        </w:rPr>
        <w:t xml:space="preserve">Раздел </w:t>
      </w:r>
      <w:r w:rsidRPr="008A3BFC">
        <w:rPr>
          <w:rFonts w:ascii="Times New Roman" w:eastAsia="Times New Roman" w:hAnsi="Times New Roman"/>
          <w:b/>
          <w:bCs/>
          <w:sz w:val="24"/>
          <w:szCs w:val="24"/>
          <w:lang w:val="en-US" w:eastAsia="ar-SA"/>
        </w:rPr>
        <w:t>I</w:t>
      </w:r>
      <w:r w:rsidRPr="008A3BFC">
        <w:rPr>
          <w:rFonts w:ascii="Times New Roman" w:eastAsia="Times New Roman" w:hAnsi="Times New Roman"/>
          <w:b/>
          <w:bCs/>
          <w:sz w:val="24"/>
          <w:szCs w:val="24"/>
          <w:lang w:eastAsia="ar-SA"/>
        </w:rPr>
        <w:t>. Собственные доходы</w:t>
      </w:r>
    </w:p>
    <w:p w:rsidR="00650238" w:rsidRPr="008A3BFC" w:rsidRDefault="00650238" w:rsidP="00055A4C">
      <w:pPr>
        <w:spacing w:after="0"/>
        <w:ind w:firstLine="709"/>
        <w:jc w:val="both"/>
        <w:rPr>
          <w:rFonts w:ascii="Times New Roman" w:eastAsia="Times New Roman" w:hAnsi="Times New Roman"/>
          <w:b/>
          <w:bCs/>
          <w:iCs/>
          <w:sz w:val="24"/>
          <w:szCs w:val="24"/>
          <w:lang w:eastAsia="ar-SA"/>
        </w:rPr>
      </w:pPr>
      <w:r w:rsidRPr="008A3BFC">
        <w:rPr>
          <w:rFonts w:ascii="Times New Roman" w:eastAsia="Times New Roman" w:hAnsi="Times New Roman"/>
          <w:b/>
          <w:bCs/>
          <w:iCs/>
          <w:sz w:val="24"/>
          <w:szCs w:val="24"/>
          <w:lang w:eastAsia="ar-SA"/>
        </w:rPr>
        <w:t>1.1. Налоговые доходы консолидированного бюджета муниципального образования (без учета доходов от уплаты акцизов на автомобильный и прямогонный бензин, моторные масла для дизельных и (или) карбюраторных (инжекторных) двигателей, производимых на территории Российской Федерации) (далее – налоговые доходы (без учета акцизов)</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Фактическое поступление налоговых доходов (без учета доходов от уплаты акцизов на автомобильный и прямогонный бензин, дизельных и (или) карбюраторных (инжекторных) двигателей, производимых на территории Российской Федерации)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составило 44 млн. </w:t>
      </w:r>
      <w:r w:rsidR="00AB1FEA" w:rsidRPr="009C12A8">
        <w:rPr>
          <w:rFonts w:ascii="Times New Roman" w:eastAsia="Times New Roman" w:hAnsi="Times New Roman"/>
          <w:sz w:val="24"/>
          <w:szCs w:val="24"/>
        </w:rPr>
        <w:t>руб.</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планом на 01.07.2019 г. отмечено отклонение от целевого значения показателя на - 6,4 процентных пункта.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 невыполнения планового значения связана с уменьшением поступлений от УСН, ЕНВД, ПСН, НИО, ЗН.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01.07.2018 г. отмечено снижение поступлений налоговых доходов (без учета акцизов) на 3,1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или на 6,6%</w:t>
      </w:r>
      <w:r w:rsidRPr="009C12A8">
        <w:rPr>
          <w:rFonts w:ascii="Times New Roman" w:eastAsia="Times New Roman" w:hAnsi="Times New Roman"/>
          <w:color w:val="FF0000"/>
          <w:sz w:val="24"/>
          <w:szCs w:val="24"/>
        </w:rPr>
        <w:t>.</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Исполнение доходной части бюджета муниципального образования в части налоговых поступлений по отдельным доходным источникам: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НДФЛ: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23,6 млн. </w:t>
      </w:r>
      <w:r w:rsidR="00AB1FEA" w:rsidRPr="009C12A8">
        <w:rPr>
          <w:rFonts w:ascii="Times New Roman" w:eastAsia="Times New Roman" w:hAnsi="Times New Roman"/>
          <w:sz w:val="24"/>
          <w:szCs w:val="24"/>
        </w:rPr>
        <w:t>руб.</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 рост на 2,8% или на 0,6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Причины роста поступлений НДФЛ: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1) оплата задолженности по решению суда ООО в сумме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2) рост налогооблагаемой базы, вследствие чего рост поступлений по налогоплательщикам: ООО на 0,1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на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3) увеличение МРОТ с 01.01.2019 г. - с 11163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до 11280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основном поступление НДФЛ обеспечено следующими налогоплательщиками (по нормативу отчисления в КБ 55%): ФГБУ ТС (2,2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43,3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ООО</w:t>
      </w:r>
      <w:r w:rsidRPr="009C12A8">
        <w:rPr>
          <w:rFonts w:ascii="Times New Roman" w:eastAsia="Times New Roman" w:hAnsi="Times New Roman"/>
          <w:sz w:val="24"/>
          <w:szCs w:val="24"/>
        </w:rPr>
        <w:t xml:space="preserve"> (2,1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121,8 тыс. </w:t>
      </w:r>
      <w:r w:rsidR="00AB1FEA" w:rsidRPr="009C12A8">
        <w:rPr>
          <w:rFonts w:ascii="Times New Roman" w:eastAsia="Times New Roman" w:hAnsi="Times New Roman"/>
          <w:sz w:val="24"/>
          <w:szCs w:val="24"/>
        </w:rPr>
        <w:t>руб.</w:t>
      </w:r>
      <w:r w:rsidR="004A6B15"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ООО (1,5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264,4 тыс. </w:t>
      </w:r>
      <w:r w:rsidR="00AB1FEA" w:rsidRPr="009C12A8">
        <w:rPr>
          <w:rFonts w:ascii="Times New Roman" w:eastAsia="Times New Roman" w:hAnsi="Times New Roman"/>
          <w:sz w:val="24"/>
          <w:szCs w:val="24"/>
        </w:rPr>
        <w:lastRenderedPageBreak/>
        <w:t>руб.</w:t>
      </w:r>
      <w:r w:rsidRPr="009C12A8">
        <w:rPr>
          <w:rFonts w:ascii="Times New Roman" w:eastAsia="Times New Roman" w:hAnsi="Times New Roman"/>
          <w:sz w:val="24"/>
          <w:szCs w:val="24"/>
        </w:rPr>
        <w:t xml:space="preserve">, Автономное учреждение Республики Алтай (0,5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57,4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АО </w:t>
      </w:r>
      <w:r w:rsidRPr="009C12A8">
        <w:rPr>
          <w:rFonts w:ascii="Times New Roman" w:eastAsia="Times New Roman" w:hAnsi="Times New Roman"/>
          <w:sz w:val="24"/>
          <w:szCs w:val="24"/>
        </w:rPr>
        <w:t xml:space="preserve">(0,3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76,2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14,3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(0,6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516,4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ЦЛГ (0,2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40,9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БУЗ РА </w:t>
      </w:r>
      <w:r w:rsidRPr="009C12A8">
        <w:rPr>
          <w:rFonts w:ascii="Times New Roman" w:eastAsia="Times New Roman" w:hAnsi="Times New Roman"/>
          <w:sz w:val="24"/>
          <w:szCs w:val="24"/>
        </w:rPr>
        <w:t xml:space="preserve">(1,2млн.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с</w:t>
      </w:r>
      <w:r w:rsidR="00E8248C" w:rsidRPr="009C12A8">
        <w:rPr>
          <w:rFonts w:ascii="Times New Roman" w:eastAsia="Times New Roman" w:hAnsi="Times New Roman"/>
          <w:sz w:val="24"/>
          <w:szCs w:val="24"/>
        </w:rPr>
        <w:t>нижение на</w:t>
      </w:r>
      <w:r w:rsidRPr="009C12A8">
        <w:rPr>
          <w:rFonts w:ascii="Times New Roman" w:eastAsia="Times New Roman" w:hAnsi="Times New Roman"/>
          <w:sz w:val="24"/>
          <w:szCs w:val="24"/>
        </w:rPr>
        <w:t xml:space="preserve"> 382,5 тыс. </w:t>
      </w:r>
      <w:r w:rsidR="00AB1FEA" w:rsidRPr="009C12A8">
        <w:rPr>
          <w:rFonts w:ascii="Times New Roman" w:eastAsia="Times New Roman" w:hAnsi="Times New Roman"/>
          <w:sz w:val="24"/>
          <w:szCs w:val="24"/>
        </w:rPr>
        <w:t>руб.</w:t>
      </w:r>
      <w:r w:rsidR="00E8248C"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УПФР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4,4 тыс. </w:t>
      </w:r>
      <w:r w:rsidR="00AB1FEA" w:rsidRPr="009C12A8">
        <w:rPr>
          <w:rFonts w:ascii="Times New Roman" w:eastAsia="Times New Roman" w:hAnsi="Times New Roman"/>
          <w:sz w:val="24"/>
          <w:szCs w:val="24"/>
        </w:rPr>
        <w:t>руб.</w:t>
      </w:r>
      <w:r w:rsidR="004A6B15"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Общество с ограниченной ответственностью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5,7 тыс. </w:t>
      </w:r>
      <w:r w:rsidR="00AB1FEA" w:rsidRPr="009C12A8">
        <w:rPr>
          <w:rFonts w:ascii="Times New Roman" w:eastAsia="Times New Roman" w:hAnsi="Times New Roman"/>
          <w:sz w:val="24"/>
          <w:szCs w:val="24"/>
        </w:rPr>
        <w:t>руб.</w:t>
      </w:r>
      <w:r w:rsidR="00E8248C" w:rsidRPr="009C12A8">
        <w:rPr>
          <w:rFonts w:ascii="Times New Roman" w:eastAsia="Times New Roman" w:hAnsi="Times New Roman"/>
          <w:sz w:val="24"/>
          <w:szCs w:val="24"/>
        </w:rPr>
        <w:t xml:space="preserve">, БУ РА </w:t>
      </w:r>
      <w:r w:rsidRPr="009C12A8">
        <w:rPr>
          <w:rFonts w:ascii="Times New Roman" w:eastAsia="Times New Roman" w:hAnsi="Times New Roman"/>
          <w:sz w:val="24"/>
          <w:szCs w:val="24"/>
        </w:rPr>
        <w:t xml:space="preserve">(0,1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51,6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КУ МО (0,2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66,3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МДОУ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103,4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отдел Администрации Чемальского района (0,1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41,7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Управление (0,5 млн. </w:t>
      </w:r>
      <w:r w:rsidR="00AB1FEA" w:rsidRPr="009C12A8">
        <w:rPr>
          <w:rFonts w:ascii="Times New Roman" w:eastAsia="Times New Roman" w:hAnsi="Times New Roman"/>
          <w:sz w:val="24"/>
          <w:szCs w:val="24"/>
        </w:rPr>
        <w:t>руб.</w:t>
      </w:r>
      <w:r w:rsidR="00E8248C" w:rsidRPr="009C12A8">
        <w:rPr>
          <w:rFonts w:ascii="Times New Roman" w:eastAsia="Times New Roman" w:hAnsi="Times New Roman"/>
          <w:sz w:val="24"/>
          <w:szCs w:val="24"/>
        </w:rPr>
        <w:t xml:space="preserve">) рост на 89,7 </w:t>
      </w:r>
      <w:r w:rsidRPr="009C12A8">
        <w:rPr>
          <w:rFonts w:ascii="Times New Roman" w:eastAsia="Times New Roman" w:hAnsi="Times New Roman"/>
          <w:sz w:val="24"/>
          <w:szCs w:val="24"/>
        </w:rPr>
        <w:t xml:space="preserve">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Общая сумма НДФЛ, уплаченного основными налогоплательщиками - 10,2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(42,4 % от общего объема поступлений НДФЛ в бюджет МО).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УСН</w:t>
      </w:r>
      <w:r w:rsidRPr="009C12A8">
        <w:rPr>
          <w:rFonts w:ascii="Times New Roman" w:eastAsia="Times New Roman" w:hAnsi="Times New Roman"/>
          <w:sz w:val="24"/>
          <w:szCs w:val="24"/>
        </w:rPr>
        <w:t xml:space="preserve">: факт на 01.07.2019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 7,6 млн. </w:t>
      </w:r>
      <w:r w:rsidR="004A6B15"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7649A8"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отмечено снижение на 23,2% или на 2,3 млн. </w:t>
      </w:r>
      <w:r w:rsidR="004A6B15"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 снижения поступлений УСН: </w:t>
      </w:r>
    </w:p>
    <w:p w:rsidR="0F2C6DF2" w:rsidRPr="009C12A8" w:rsidRDefault="1AB1A024"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1) Снижение налогооблагаемой базы, вследствие чего снижение поступлений по налогоплательщикам: Автономное учреждение Республики Алтай на 157,6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на 65,6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на 48,7 тыс. </w:t>
      </w:r>
      <w:r w:rsidR="00AB1FEA" w:rsidRPr="009C12A8">
        <w:rPr>
          <w:rFonts w:ascii="Times New Roman" w:eastAsia="Times New Roman" w:hAnsi="Times New Roman"/>
          <w:sz w:val="24"/>
          <w:szCs w:val="24"/>
        </w:rPr>
        <w:t>руб.</w:t>
      </w:r>
    </w:p>
    <w:p w:rsidR="01873726" w:rsidRPr="009C12A8" w:rsidRDefault="2618B2B8"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2) Отсутствие поступлений в 2019 </w:t>
      </w:r>
      <w:r w:rsidR="007649A8" w:rsidRPr="009C12A8">
        <w:rPr>
          <w:rFonts w:ascii="Times New Roman" w:eastAsia="Times New Roman" w:hAnsi="Times New Roman"/>
          <w:sz w:val="24"/>
          <w:szCs w:val="24"/>
        </w:rPr>
        <w:t>г.</w:t>
      </w:r>
      <w:r w:rsidR="008A3BFC">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(01.07.2018 г. - 1,7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01.07.2019 г. - 0) в связи с ликвидацией.</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основном поступление УСН обеспечено следующими налогоплательщиками: Автономное учреждение Республики Алтай (0,5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157,6 тыс. </w:t>
      </w:r>
      <w:r w:rsidR="00AB1FEA" w:rsidRPr="009C12A8">
        <w:rPr>
          <w:rFonts w:ascii="Times New Roman" w:eastAsia="Times New Roman" w:hAnsi="Times New Roman"/>
          <w:sz w:val="24"/>
          <w:szCs w:val="24"/>
        </w:rPr>
        <w:t>руб.</w:t>
      </w:r>
      <w:r w:rsidR="004A6B15" w:rsidRPr="009C12A8">
        <w:rPr>
          <w:rFonts w:ascii="Times New Roman" w:eastAsia="Times New Roman" w:hAnsi="Times New Roman"/>
          <w:sz w:val="24"/>
          <w:szCs w:val="24"/>
        </w:rPr>
        <w:t xml:space="preserve">, ДПК </w:t>
      </w:r>
      <w:r w:rsidRPr="009C12A8">
        <w:rPr>
          <w:rFonts w:ascii="Times New Roman" w:eastAsia="Times New Roman" w:hAnsi="Times New Roman"/>
          <w:sz w:val="24"/>
          <w:szCs w:val="24"/>
        </w:rPr>
        <w:t xml:space="preserve">(0,2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211,9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0,7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28,4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ОАО (0,6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181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(0,9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14,9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ООО</w:t>
      </w:r>
      <w:r w:rsidRPr="009C12A8">
        <w:rPr>
          <w:rFonts w:ascii="Times New Roman" w:eastAsia="Times New Roman" w:hAnsi="Times New Roman"/>
          <w:sz w:val="24"/>
          <w:szCs w:val="24"/>
        </w:rPr>
        <w:t xml:space="preserve"> (0,08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70,7 тыс. </w:t>
      </w:r>
      <w:r w:rsidR="00AB1FEA" w:rsidRPr="009C12A8">
        <w:rPr>
          <w:rFonts w:ascii="Times New Roman" w:eastAsia="Times New Roman" w:hAnsi="Times New Roman"/>
          <w:sz w:val="24"/>
          <w:szCs w:val="24"/>
        </w:rPr>
        <w:t>руб.</w:t>
      </w:r>
      <w:r w:rsidR="004A6B15" w:rsidRPr="009C12A8">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85,7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ООО</w:t>
      </w:r>
      <w:r w:rsidRPr="009C12A8">
        <w:rPr>
          <w:rFonts w:ascii="Times New Roman" w:eastAsia="Times New Roman" w:hAnsi="Times New Roman"/>
          <w:sz w:val="24"/>
          <w:szCs w:val="24"/>
        </w:rPr>
        <w:t xml:space="preserve"> (0,4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325,8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216,7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41,7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Общая сумма УСН, уплаченного основными налогоплательщиками – 4,0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(68,2 % от общего объема поступлений УСН в бюджет МО).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ЕНВД</w:t>
      </w:r>
      <w:r w:rsidRPr="009C12A8">
        <w:rPr>
          <w:rFonts w:ascii="Times New Roman" w:eastAsia="Times New Roman" w:hAnsi="Times New Roman"/>
          <w:sz w:val="24"/>
          <w:szCs w:val="24"/>
        </w:rPr>
        <w:t xml:space="preserve">: факт на 01.07.2019 </w:t>
      </w:r>
      <w:r w:rsidR="007649A8"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2,2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отмечено снижение на 33,9% или на 1,1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Причины снижения поступлений ЕНВД: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1) Снижение налогооблагаемой базы, вследствие чего снижение поступлений у ООО на 93,3 тыс. </w:t>
      </w:r>
      <w:r w:rsidR="00AB1FEA" w:rsidRPr="009C12A8">
        <w:rPr>
          <w:rFonts w:ascii="Times New Roman" w:eastAsia="Times New Roman" w:hAnsi="Times New Roman"/>
          <w:sz w:val="24"/>
          <w:szCs w:val="24"/>
        </w:rPr>
        <w:t>руб.</w:t>
      </w:r>
      <w:r w:rsidR="00E8248C" w:rsidRPr="009C12A8">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на 17,2 тыс. </w:t>
      </w:r>
      <w:r w:rsidR="00AB1FEA" w:rsidRPr="009C12A8">
        <w:rPr>
          <w:rFonts w:ascii="Times New Roman" w:eastAsia="Times New Roman" w:hAnsi="Times New Roman"/>
          <w:sz w:val="24"/>
          <w:szCs w:val="24"/>
        </w:rPr>
        <w:t>руб.</w:t>
      </w:r>
      <w:r w:rsidR="00D57793">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на 31,1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2) Отсутствие по</w:t>
      </w:r>
      <w:r w:rsidR="00E8248C" w:rsidRPr="009C12A8">
        <w:rPr>
          <w:rFonts w:ascii="Times New Roman" w:eastAsia="Times New Roman" w:hAnsi="Times New Roman"/>
          <w:sz w:val="24"/>
          <w:szCs w:val="24"/>
        </w:rPr>
        <w:t xml:space="preserve">ступлений в 2019 </w:t>
      </w:r>
      <w:r w:rsidR="007649A8" w:rsidRPr="009C12A8">
        <w:rPr>
          <w:rFonts w:ascii="Times New Roman" w:eastAsia="Times New Roman" w:hAnsi="Times New Roman"/>
          <w:sz w:val="24"/>
          <w:szCs w:val="24"/>
        </w:rPr>
        <w:t>г.</w:t>
      </w:r>
      <w:r w:rsidR="00DA0279" w:rsidRPr="009C12A8">
        <w:rPr>
          <w:rFonts w:ascii="Times New Roman" w:eastAsia="Times New Roman" w:hAnsi="Times New Roman"/>
          <w:sz w:val="24"/>
          <w:szCs w:val="24"/>
        </w:rPr>
        <w:t xml:space="preserve"> </w:t>
      </w:r>
      <w:r w:rsidR="008A3BFC">
        <w:rPr>
          <w:rFonts w:ascii="Times New Roman" w:eastAsia="Times New Roman" w:hAnsi="Times New Roman"/>
          <w:sz w:val="24"/>
          <w:szCs w:val="24"/>
        </w:rPr>
        <w:t xml:space="preserve">БУ РА </w:t>
      </w:r>
      <w:r w:rsidRPr="009C12A8">
        <w:rPr>
          <w:rFonts w:ascii="Times New Roman" w:eastAsia="Times New Roman" w:hAnsi="Times New Roman"/>
          <w:sz w:val="24"/>
          <w:szCs w:val="24"/>
        </w:rPr>
        <w:t xml:space="preserve">(01.07.2018 г. - 48,9 тыс. </w:t>
      </w:r>
      <w:r w:rsidR="00AB1FEA" w:rsidRPr="009C12A8">
        <w:rPr>
          <w:rFonts w:ascii="Times New Roman" w:eastAsia="Times New Roman" w:hAnsi="Times New Roman"/>
          <w:sz w:val="24"/>
          <w:szCs w:val="24"/>
        </w:rPr>
        <w:t>руб.</w:t>
      </w:r>
      <w:r w:rsidR="00D57793">
        <w:rPr>
          <w:rFonts w:ascii="Times New Roman" w:eastAsia="Times New Roman" w:hAnsi="Times New Roman"/>
          <w:sz w:val="24"/>
          <w:szCs w:val="24"/>
        </w:rPr>
        <w:t>, 01.07.2019 г. - 0);</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3) В аналогичном периоде прошлого </w:t>
      </w:r>
      <w:r w:rsidR="00205189" w:rsidRPr="009C12A8">
        <w:rPr>
          <w:rFonts w:ascii="Times New Roman" w:eastAsia="Times New Roman" w:hAnsi="Times New Roman"/>
          <w:sz w:val="24"/>
          <w:szCs w:val="24"/>
        </w:rPr>
        <w:t>г</w:t>
      </w:r>
      <w:r w:rsidR="00DA027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рост поступлений был связан с оплатой задолженности ИП на сумму 0,5 млн. </w:t>
      </w:r>
      <w:r w:rsidR="00AB1FEA" w:rsidRPr="009C12A8">
        <w:rPr>
          <w:rFonts w:ascii="Times New Roman" w:eastAsia="Times New Roman" w:hAnsi="Times New Roman"/>
          <w:sz w:val="24"/>
          <w:szCs w:val="24"/>
        </w:rPr>
        <w:t>руб.</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В основном поступление ЕНВД обеспечено следую</w:t>
      </w:r>
      <w:r w:rsidR="00AB1FEA" w:rsidRPr="009C12A8">
        <w:rPr>
          <w:rFonts w:ascii="Times New Roman" w:eastAsia="Times New Roman" w:hAnsi="Times New Roman"/>
          <w:sz w:val="24"/>
          <w:szCs w:val="24"/>
        </w:rPr>
        <w:t xml:space="preserve">щими налогоплательщиками: ООО </w:t>
      </w:r>
      <w:r w:rsidRPr="009C12A8">
        <w:rPr>
          <w:rFonts w:ascii="Times New Roman" w:eastAsia="Times New Roman" w:hAnsi="Times New Roman"/>
          <w:sz w:val="24"/>
          <w:szCs w:val="24"/>
        </w:rPr>
        <w:t xml:space="preserve">(0,4 млн. руб.) рост на 326,3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(0,1 млн. руб.) рост на 67,9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54,9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12,5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34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рост на 36,7</w:t>
      </w:r>
      <w:r w:rsidR="008A3BFC">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(0,08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40,8 тыс. </w:t>
      </w:r>
      <w:r w:rsidR="008A3BFC">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17,2 тыс. </w:t>
      </w:r>
      <w:r w:rsidR="00AB1FEA" w:rsidRPr="009C12A8">
        <w:rPr>
          <w:rFonts w:ascii="Times New Roman" w:eastAsia="Times New Roman" w:hAnsi="Times New Roman"/>
          <w:sz w:val="24"/>
          <w:szCs w:val="24"/>
        </w:rPr>
        <w:t>руб.</w:t>
      </w:r>
      <w:r w:rsidR="00B1240C" w:rsidRPr="009C12A8">
        <w:rPr>
          <w:rFonts w:ascii="Times New Roman" w:eastAsia="Times New Roman" w:hAnsi="Times New Roman"/>
          <w:sz w:val="24"/>
          <w:szCs w:val="24"/>
        </w:rPr>
        <w:t xml:space="preserve">, ООО </w:t>
      </w:r>
      <w:r w:rsidRPr="009C12A8">
        <w:rPr>
          <w:rFonts w:ascii="Times New Roman" w:eastAsia="Times New Roman" w:hAnsi="Times New Roman"/>
          <w:sz w:val="24"/>
          <w:szCs w:val="24"/>
        </w:rPr>
        <w:t xml:space="preserve">(02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112,4 тыс. </w:t>
      </w:r>
      <w:r w:rsidR="00AB1FEA" w:rsidRPr="009C12A8">
        <w:rPr>
          <w:rFonts w:ascii="Times New Roman" w:eastAsia="Times New Roman" w:hAnsi="Times New Roman"/>
          <w:sz w:val="24"/>
          <w:szCs w:val="24"/>
        </w:rPr>
        <w:t>руб.</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lastRenderedPageBreak/>
        <w:t xml:space="preserve">Общая сумма ЕНВД, уплаченного основными налогоплательщиками – 1,0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(94 % от общего объема поступлений ЕНВД в бюджет МО).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ЕСХН: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 рост на 41,4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или на 62 %.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ПСН: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0,07 млн. </w:t>
      </w:r>
      <w:r w:rsidR="00B1240C"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отмечено снижение на 12,3 % или на 9,5 тыс. </w:t>
      </w:r>
      <w:r w:rsidR="00AB1FEA" w:rsidRPr="009C12A8">
        <w:rPr>
          <w:rFonts w:ascii="Times New Roman" w:eastAsia="Times New Roman" w:hAnsi="Times New Roman"/>
          <w:sz w:val="24"/>
          <w:szCs w:val="24"/>
        </w:rPr>
        <w:t>руб.</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Причина снижения поступлений ПСН – уменьшение количества выданных патентов (01.</w:t>
      </w:r>
      <w:r w:rsidR="00B1240C" w:rsidRPr="009C12A8">
        <w:rPr>
          <w:rFonts w:ascii="Times New Roman" w:eastAsia="Times New Roman" w:hAnsi="Times New Roman"/>
          <w:sz w:val="24"/>
          <w:szCs w:val="24"/>
        </w:rPr>
        <w:t xml:space="preserve">01.2018 - 33, 01.01.2019 - 27)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НИФЛ: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 рост на 169,8 % или на 206,4 тыс. </w:t>
      </w:r>
      <w:r w:rsidR="00B1240C"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 роста поступлений НИФЛ – уменьшение задолженности на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(на 01.06.2018 -1,1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на 01.06.2019 - 0,8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НИО: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–3,8 млн. </w:t>
      </w:r>
      <w:r w:rsidR="00B1240C"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отмечено снижение на 16,2 % или на 0,7 млн. </w:t>
      </w:r>
      <w:r w:rsidR="00AB1FEA" w:rsidRPr="009C12A8">
        <w:rPr>
          <w:rFonts w:ascii="Times New Roman" w:eastAsia="Times New Roman" w:hAnsi="Times New Roman"/>
          <w:sz w:val="24"/>
          <w:szCs w:val="24"/>
        </w:rPr>
        <w:t>руб.</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 снижения поступлений НИО - снижение поступлений по ОАО «РЖД» на 0,7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основном поступление НИО обеспечено следующими налогоплательщиками (по нормативу отчисления в КБ 50%): ООО (2,0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0,7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ПАО 0,7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369,4  тыс. </w:t>
      </w:r>
      <w:r w:rsidR="00AB1FEA" w:rsidRPr="009C12A8">
        <w:rPr>
          <w:rFonts w:ascii="Times New Roman" w:eastAsia="Times New Roman" w:hAnsi="Times New Roman"/>
          <w:sz w:val="24"/>
          <w:szCs w:val="24"/>
        </w:rPr>
        <w:t xml:space="preserve">руб., БУ РА </w:t>
      </w:r>
      <w:r w:rsidRPr="009C12A8">
        <w:rPr>
          <w:rFonts w:ascii="Times New Roman" w:eastAsia="Times New Roman" w:hAnsi="Times New Roman"/>
          <w:sz w:val="24"/>
          <w:szCs w:val="24"/>
        </w:rPr>
        <w:t xml:space="preserve">0,09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85,7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сравнению с аналогичным периодом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сельская администрация (0,06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70,3 тыс. </w:t>
      </w:r>
      <w:r w:rsidR="00AB1FEA" w:rsidRPr="009C12A8">
        <w:rPr>
          <w:rFonts w:ascii="Times New Roman" w:eastAsia="Times New Roman" w:hAnsi="Times New Roman"/>
          <w:sz w:val="24"/>
          <w:szCs w:val="24"/>
        </w:rPr>
        <w:t>руб.</w:t>
      </w:r>
      <w:r w:rsidR="008A3BFC">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Общая сумма НИО, уплаченного основными налогоплательщиками –2,9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(77,2 % от общего объема поступлений НИО в бюджет МО). Рост поступлений по отдельным налогоплательщикам произошел по причине увеличения налогооблагаемой базы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Земельный налог: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5,3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отмечено снижение на 2,5 % или на 135,2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 снижения поступлений ЗН - увеличение задолженности по данному виду налога на 1,1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(01.07.2019 - 4,2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01.07.2018 - 3,2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В основном поступление ЗН обеспечено след</w:t>
      </w:r>
      <w:r w:rsidR="008A3BFC">
        <w:rPr>
          <w:rFonts w:ascii="Times New Roman" w:eastAsia="Times New Roman" w:hAnsi="Times New Roman"/>
          <w:sz w:val="24"/>
          <w:szCs w:val="24"/>
        </w:rPr>
        <w:t>ующими налогоплательщиками: ОАО</w:t>
      </w:r>
      <w:r w:rsidRPr="009C12A8">
        <w:rPr>
          <w:rFonts w:ascii="Times New Roman" w:eastAsia="Times New Roman" w:hAnsi="Times New Roman"/>
          <w:sz w:val="24"/>
          <w:szCs w:val="24"/>
        </w:rPr>
        <w:t xml:space="preserve"> (0,4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ФГБУ ТС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226,3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130,7 тыс. </w:t>
      </w:r>
      <w:r w:rsidR="00AB1FEA" w:rsidRPr="009C12A8">
        <w:rPr>
          <w:rFonts w:ascii="Times New Roman" w:eastAsia="Times New Roman" w:hAnsi="Times New Roman"/>
          <w:sz w:val="24"/>
          <w:szCs w:val="24"/>
        </w:rPr>
        <w:t>руб.</w:t>
      </w:r>
      <w:r w:rsidR="00B1240C" w:rsidRPr="009C12A8">
        <w:rPr>
          <w:rFonts w:ascii="Times New Roman" w:eastAsia="Times New Roman" w:hAnsi="Times New Roman"/>
          <w:sz w:val="24"/>
          <w:szCs w:val="24"/>
        </w:rPr>
        <w:t>, ООО</w:t>
      </w:r>
      <w:r w:rsidRPr="009C12A8">
        <w:rPr>
          <w:rFonts w:ascii="Times New Roman" w:eastAsia="Times New Roman" w:hAnsi="Times New Roman"/>
          <w:sz w:val="24"/>
          <w:szCs w:val="24"/>
        </w:rPr>
        <w:t xml:space="preserve"> (0,1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99,6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107,8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(0,06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64 тыс. </w:t>
      </w:r>
      <w:r w:rsidR="00AB1FEA" w:rsidRPr="009C12A8">
        <w:rPr>
          <w:rFonts w:ascii="Times New Roman" w:eastAsia="Times New Roman" w:hAnsi="Times New Roman"/>
          <w:sz w:val="24"/>
          <w:szCs w:val="24"/>
        </w:rPr>
        <w:t>руб.</w:t>
      </w:r>
      <w:r w:rsidR="00B1240C" w:rsidRPr="009C12A8">
        <w:rPr>
          <w:rFonts w:ascii="Times New Roman" w:eastAsia="Times New Roman" w:hAnsi="Times New Roman"/>
          <w:sz w:val="24"/>
          <w:szCs w:val="24"/>
        </w:rPr>
        <w:t>, АО</w:t>
      </w:r>
      <w:r w:rsidRPr="009C12A8">
        <w:rPr>
          <w:rFonts w:ascii="Times New Roman" w:eastAsia="Times New Roman" w:hAnsi="Times New Roman"/>
          <w:sz w:val="24"/>
          <w:szCs w:val="24"/>
        </w:rPr>
        <w:t xml:space="preserve"> (0,1 млн. </w:t>
      </w:r>
      <w:r w:rsidR="00AB1FEA" w:rsidRPr="009C12A8">
        <w:rPr>
          <w:rFonts w:ascii="Times New Roman" w:eastAsia="Times New Roman" w:hAnsi="Times New Roman"/>
          <w:sz w:val="24"/>
          <w:szCs w:val="24"/>
        </w:rPr>
        <w:t>руб.</w:t>
      </w:r>
      <w:r w:rsidR="00E8248C"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рост на 130,7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(0,1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(0,08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41,1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(103,1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107,8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(73,3 тыс. </w:t>
      </w:r>
      <w:r w:rsidR="00AB1FEA" w:rsidRPr="009C12A8">
        <w:rPr>
          <w:rFonts w:ascii="Times New Roman" w:eastAsia="Times New Roman" w:hAnsi="Times New Roman"/>
          <w:sz w:val="24"/>
          <w:szCs w:val="24"/>
        </w:rPr>
        <w:t xml:space="preserve">руб.) </w:t>
      </w:r>
      <w:r w:rsidRPr="009C12A8">
        <w:rPr>
          <w:rFonts w:ascii="Times New Roman" w:eastAsia="Times New Roman" w:hAnsi="Times New Roman"/>
          <w:sz w:val="24"/>
          <w:szCs w:val="24"/>
        </w:rPr>
        <w:t xml:space="preserve">рост на 0,2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(75,4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75,4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(63,5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9,2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(0,05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снижение на 1,8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(0,05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25,1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ООО (0,8млн.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37,7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ООО</w:t>
      </w:r>
      <w:r w:rsidR="008A3BFC">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(0,03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рост на 11,2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Общая сумма ЗН, уплаченного основными налогоплательщиками – 2,0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(59 % от общего объема поступлений ЗН в бюджет МО). </w:t>
      </w:r>
    </w:p>
    <w:p w:rsidR="0F2C6DF2"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t xml:space="preserve">НДПИ: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0,06 млн. </w:t>
      </w:r>
      <w:r w:rsidR="00AB1FEA" w:rsidRPr="009C12A8">
        <w:rPr>
          <w:rFonts w:ascii="Times New Roman" w:eastAsia="Times New Roman" w:hAnsi="Times New Roman"/>
          <w:sz w:val="24"/>
          <w:szCs w:val="24"/>
        </w:rPr>
        <w:t xml:space="preserve">руб. </w:t>
      </w:r>
      <w:r w:rsidRPr="009C12A8">
        <w:rPr>
          <w:rFonts w:ascii="Times New Roman" w:eastAsia="Times New Roman" w:hAnsi="Times New Roman"/>
          <w:sz w:val="24"/>
          <w:szCs w:val="24"/>
        </w:rPr>
        <w:t xml:space="preserve">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 рост на 84,5 % или на 28,8 тыс. </w:t>
      </w:r>
      <w:r w:rsidR="00AB1FEA" w:rsidRPr="009C12A8">
        <w:rPr>
          <w:rFonts w:ascii="Times New Roman" w:eastAsia="Times New Roman" w:hAnsi="Times New Roman"/>
          <w:sz w:val="24"/>
          <w:szCs w:val="24"/>
        </w:rPr>
        <w:t>руб.</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Причина роста поступ</w:t>
      </w:r>
      <w:r w:rsidR="008A3BFC">
        <w:rPr>
          <w:rFonts w:ascii="Times New Roman" w:eastAsia="Times New Roman" w:hAnsi="Times New Roman"/>
          <w:sz w:val="24"/>
          <w:szCs w:val="24"/>
        </w:rPr>
        <w:t xml:space="preserve">лений НДПИ – поступление от ООО </w:t>
      </w:r>
      <w:r w:rsidRPr="009C12A8">
        <w:rPr>
          <w:rFonts w:ascii="Times New Roman" w:eastAsia="Times New Roman" w:hAnsi="Times New Roman"/>
          <w:sz w:val="24"/>
          <w:szCs w:val="24"/>
        </w:rPr>
        <w:t xml:space="preserve">30,9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(01.07.2018 - 31,6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01.07.2019 - 62,5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0055A4C" w:rsidRPr="009C12A8" w:rsidRDefault="1BBCC3CE"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bCs/>
          <w:sz w:val="24"/>
          <w:szCs w:val="24"/>
        </w:rPr>
        <w:lastRenderedPageBreak/>
        <w:t xml:space="preserve">ГП: </w:t>
      </w:r>
      <w:r w:rsidRPr="009C12A8">
        <w:rPr>
          <w:rFonts w:ascii="Times New Roman" w:eastAsia="Times New Roman" w:hAnsi="Times New Roman"/>
          <w:sz w:val="24"/>
          <w:szCs w:val="24"/>
        </w:rPr>
        <w:t xml:space="preserve">факт на 01.07.2019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–1,0 млн. </w:t>
      </w:r>
      <w:r w:rsidR="00B1240C"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По отношению к 01.07.2018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отмечен рост на 33,8 % или на 0,3 млн.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Причины роста поступлений: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1) Увеличение количества обращений в суды общей юрисдикции, в результате произошло увеличение поступлений по делам, рассматриваемым в судах общей юрисдикции на 0,1 млн</w:t>
      </w:r>
      <w:r w:rsidR="00B1240C"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руб.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В основном поступление обеспечено след</w:t>
      </w:r>
      <w:r w:rsidR="008A3BFC">
        <w:rPr>
          <w:rFonts w:ascii="Times New Roman" w:eastAsia="Times New Roman" w:hAnsi="Times New Roman"/>
          <w:sz w:val="24"/>
          <w:szCs w:val="24"/>
        </w:rPr>
        <w:t xml:space="preserve">ующими налогоплательщиками: АО </w:t>
      </w:r>
      <w:r w:rsidRPr="009C12A8">
        <w:rPr>
          <w:rFonts w:ascii="Times New Roman" w:eastAsia="Times New Roman" w:hAnsi="Times New Roman"/>
          <w:sz w:val="24"/>
          <w:szCs w:val="24"/>
        </w:rPr>
        <w:t xml:space="preserve">(16,9 тыс. </w:t>
      </w:r>
      <w:r w:rsidR="00AB1FEA" w:rsidRPr="009C12A8">
        <w:rPr>
          <w:rFonts w:ascii="Times New Roman" w:eastAsia="Times New Roman" w:hAnsi="Times New Roman"/>
          <w:sz w:val="24"/>
          <w:szCs w:val="24"/>
        </w:rPr>
        <w:t>руб.), ООО</w:t>
      </w:r>
      <w:r w:rsidRPr="009C12A8">
        <w:rPr>
          <w:rFonts w:ascii="Times New Roman" w:eastAsia="Times New Roman" w:hAnsi="Times New Roman"/>
          <w:sz w:val="24"/>
          <w:szCs w:val="24"/>
        </w:rPr>
        <w:t xml:space="preserve"> (25,3 тыс. </w:t>
      </w:r>
      <w:r w:rsidR="00AB1FEA" w:rsidRPr="009C12A8">
        <w:rPr>
          <w:rFonts w:ascii="Times New Roman" w:eastAsia="Times New Roman" w:hAnsi="Times New Roman"/>
          <w:sz w:val="24"/>
          <w:szCs w:val="24"/>
        </w:rPr>
        <w:t xml:space="preserve">руб.), ООО </w:t>
      </w:r>
      <w:r w:rsidRPr="009C12A8">
        <w:rPr>
          <w:rFonts w:ascii="Times New Roman" w:eastAsia="Times New Roman" w:hAnsi="Times New Roman"/>
          <w:sz w:val="24"/>
          <w:szCs w:val="24"/>
        </w:rPr>
        <w:t xml:space="preserve">(21 тыс. </w:t>
      </w:r>
      <w:r w:rsidR="00AB1FEA" w:rsidRPr="009C12A8">
        <w:rPr>
          <w:rFonts w:ascii="Times New Roman" w:eastAsia="Times New Roman" w:hAnsi="Times New Roman"/>
          <w:sz w:val="24"/>
          <w:szCs w:val="24"/>
        </w:rPr>
        <w:t xml:space="preserve">руб.), ПАО </w:t>
      </w:r>
      <w:r w:rsidRPr="009C12A8">
        <w:rPr>
          <w:rFonts w:ascii="Times New Roman" w:eastAsia="Times New Roman" w:hAnsi="Times New Roman"/>
          <w:sz w:val="24"/>
          <w:szCs w:val="24"/>
        </w:rPr>
        <w:t xml:space="preserve">(11,3 тыс. </w:t>
      </w:r>
      <w:r w:rsidR="00AB1FEA" w:rsidRPr="009C12A8">
        <w:rPr>
          <w:rFonts w:ascii="Times New Roman" w:eastAsia="Times New Roman" w:hAnsi="Times New Roman"/>
          <w:sz w:val="24"/>
          <w:szCs w:val="24"/>
        </w:rPr>
        <w:t xml:space="preserve">руб.), ПАО </w:t>
      </w:r>
      <w:r w:rsidRPr="009C12A8">
        <w:rPr>
          <w:rFonts w:ascii="Times New Roman" w:eastAsia="Times New Roman" w:hAnsi="Times New Roman"/>
          <w:sz w:val="24"/>
          <w:szCs w:val="24"/>
        </w:rPr>
        <w:t xml:space="preserve">(32,5 тыс.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2) Увеличение поступлений за совершение действий, связанных с лицензированием и проведением аккредитации на 0,2 млн. руб.</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Мероприятия, проведенные органами местного самоуправления в целях увеличения поступления налоговых доходов (без учета акцизов).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1) Проведение комиссий по мобилизации доходов в консолидированный бюджет совместно с У</w:t>
      </w:r>
      <w:r w:rsidR="00E8248C" w:rsidRPr="009C12A8">
        <w:rPr>
          <w:rFonts w:ascii="Times New Roman" w:eastAsia="Times New Roman" w:hAnsi="Times New Roman"/>
          <w:sz w:val="24"/>
          <w:szCs w:val="24"/>
        </w:rPr>
        <w:t>ФНС России по Республике Алтай.</w:t>
      </w:r>
      <w:r w:rsidRPr="009C12A8">
        <w:rPr>
          <w:rFonts w:ascii="Times New Roman" w:eastAsia="Times New Roman" w:hAnsi="Times New Roman"/>
          <w:sz w:val="24"/>
          <w:szCs w:val="24"/>
        </w:rPr>
        <w:t xml:space="preserve"> За </w:t>
      </w:r>
      <w:r w:rsidR="00205189" w:rsidRPr="009C12A8">
        <w:rPr>
          <w:rFonts w:ascii="Times New Roman" w:eastAsia="Times New Roman" w:hAnsi="Times New Roman"/>
          <w:sz w:val="24"/>
          <w:szCs w:val="24"/>
        </w:rPr>
        <w:t>первое</w:t>
      </w:r>
      <w:r w:rsidRPr="009C12A8">
        <w:rPr>
          <w:rFonts w:ascii="Times New Roman" w:eastAsia="Times New Roman" w:hAnsi="Times New Roman"/>
          <w:sz w:val="24"/>
          <w:szCs w:val="24"/>
        </w:rPr>
        <w:t xml:space="preserve"> </w:t>
      </w:r>
      <w:r w:rsidR="00205189" w:rsidRPr="009C12A8">
        <w:rPr>
          <w:rFonts w:ascii="Times New Roman" w:eastAsia="Times New Roman" w:hAnsi="Times New Roman"/>
          <w:sz w:val="24"/>
          <w:szCs w:val="24"/>
        </w:rPr>
        <w:t xml:space="preserve">полугодие </w:t>
      </w:r>
      <w:r w:rsidRPr="009C12A8">
        <w:rPr>
          <w:rFonts w:ascii="Times New Roman" w:eastAsia="Times New Roman" w:hAnsi="Times New Roman"/>
          <w:sz w:val="24"/>
          <w:szCs w:val="24"/>
        </w:rPr>
        <w:t xml:space="preserve">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проведена 1 комиссия по мобилизации доходов в консолидированный бюджет МО «Чемальский район» совместно с УФНС России по Республике Алтай. Приглашено 10 налогоплательщиков с общей суммой задолженности 5,8 млн</w:t>
      </w:r>
      <w:r w:rsidR="00B1240C"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руб.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2) Отправка информационных писем по задолженности. Специалистами Финансового отдела Админ</w:t>
      </w:r>
      <w:r w:rsidR="00DA0279" w:rsidRPr="009C12A8">
        <w:rPr>
          <w:rFonts w:ascii="Times New Roman" w:eastAsia="Times New Roman" w:hAnsi="Times New Roman"/>
          <w:sz w:val="24"/>
          <w:szCs w:val="24"/>
        </w:rPr>
        <w:t>истрации Чемальского района за первое</w:t>
      </w:r>
      <w:r w:rsidRPr="009C12A8">
        <w:rPr>
          <w:rFonts w:ascii="Times New Roman" w:eastAsia="Times New Roman" w:hAnsi="Times New Roman"/>
          <w:sz w:val="24"/>
          <w:szCs w:val="24"/>
        </w:rPr>
        <w:t xml:space="preserve"> </w:t>
      </w:r>
      <w:r w:rsidR="00205189" w:rsidRPr="009C12A8">
        <w:rPr>
          <w:rFonts w:ascii="Times New Roman" w:eastAsia="Times New Roman" w:hAnsi="Times New Roman"/>
          <w:sz w:val="24"/>
          <w:szCs w:val="24"/>
        </w:rPr>
        <w:t xml:space="preserve">полугодие </w:t>
      </w:r>
      <w:r w:rsidRPr="009C12A8">
        <w:rPr>
          <w:rFonts w:ascii="Times New Roman" w:eastAsia="Times New Roman" w:hAnsi="Times New Roman"/>
          <w:sz w:val="24"/>
          <w:szCs w:val="24"/>
        </w:rPr>
        <w:t xml:space="preserve">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было направлено 51 письмо бюджетным учреждениям на общую сумму 4,4 млн</w:t>
      </w:r>
      <w:r w:rsidR="00B1240C"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w:t>
      </w:r>
      <w:r w:rsidR="00AB1FEA" w:rsidRPr="009C12A8">
        <w:rPr>
          <w:rFonts w:ascii="Times New Roman" w:eastAsia="Times New Roman" w:hAnsi="Times New Roman"/>
          <w:sz w:val="24"/>
          <w:szCs w:val="24"/>
        </w:rPr>
        <w:t>руб.</w:t>
      </w:r>
      <w:r w:rsidRPr="009C12A8">
        <w:rPr>
          <w:rFonts w:ascii="Times New Roman" w:eastAsia="Times New Roman" w:hAnsi="Times New Roman"/>
          <w:sz w:val="24"/>
          <w:szCs w:val="24"/>
        </w:rPr>
        <w:t xml:space="preserve"> Из них оплачено 0,2 млн. руб. Учреждениями ведется сверка с УФНС России по Республике Алтай по задолженности. </w:t>
      </w:r>
    </w:p>
    <w:p w:rsidR="0F2C6DF2" w:rsidRPr="009C12A8" w:rsidRDefault="0F2C6DF2"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3) Специалистами Администрации района и сельских поселений регулярно проводится работа по вопросу оплаты задолженности по налогам на основании списков недоимщиков, предоставляемых УФНС России по Республике Алтай, в т.ч. путем: устных разъяснений по телефону, рассылки писем и квитанций с уведомлением, разъяснительных бесед с должниками, размещение объявлений о приеме денежных средств в пользу уплаты налогов в кассу сельского поселения. </w:t>
      </w:r>
    </w:p>
    <w:p w:rsidR="0F2C6DF2" w:rsidRPr="009C12A8" w:rsidRDefault="5C066F03" w:rsidP="00055A4C">
      <w:pPr>
        <w:spacing w:after="0"/>
        <w:ind w:firstLine="525"/>
        <w:jc w:val="both"/>
        <w:rPr>
          <w:rFonts w:ascii="Times New Roman" w:eastAsia="Times New Roman" w:hAnsi="Times New Roman"/>
          <w:sz w:val="24"/>
          <w:szCs w:val="24"/>
        </w:rPr>
      </w:pPr>
      <w:r w:rsidRPr="009C12A8">
        <w:rPr>
          <w:rFonts w:ascii="Times New Roman" w:eastAsia="Times New Roman" w:hAnsi="Times New Roman"/>
          <w:sz w:val="24"/>
          <w:szCs w:val="24"/>
        </w:rPr>
        <w:t>3) Финансовым отделом Администрации района периодически размещается в СМИ Чемальского района информация по местным налогам физических лиц: об изменениях в Налоговом кодексе, об интернет - сервисе «Личный кабинет налогоплательщика», о сроках уплаты налогов и прочие. Также данная ин</w:t>
      </w:r>
      <w:r w:rsidR="00AB1FEA" w:rsidRPr="009C12A8">
        <w:rPr>
          <w:rFonts w:ascii="Times New Roman" w:eastAsia="Times New Roman" w:hAnsi="Times New Roman"/>
          <w:sz w:val="24"/>
          <w:szCs w:val="24"/>
        </w:rPr>
        <w:t xml:space="preserve">формация размещена на сайте МО «Чемальский район» в разделе </w:t>
      </w:r>
      <w:r w:rsidRPr="009C12A8">
        <w:rPr>
          <w:rFonts w:ascii="Times New Roman" w:eastAsia="Times New Roman" w:hAnsi="Times New Roman"/>
          <w:sz w:val="24"/>
          <w:szCs w:val="24"/>
        </w:rPr>
        <w:t>«Федеральная налоговая служба».</w:t>
      </w:r>
    </w:p>
    <w:p w:rsidR="004D2DF8" w:rsidRPr="008A3BFC" w:rsidRDefault="0F2C6DF2" w:rsidP="0064322B">
      <w:pPr>
        <w:spacing w:after="0"/>
        <w:ind w:firstLine="567"/>
        <w:jc w:val="center"/>
        <w:rPr>
          <w:rFonts w:ascii="Times New Roman" w:hAnsi="Times New Roman"/>
          <w:b/>
          <w:sz w:val="24"/>
          <w:szCs w:val="24"/>
        </w:rPr>
      </w:pPr>
      <w:r w:rsidRPr="008A3BFC">
        <w:rPr>
          <w:rFonts w:ascii="Times New Roman" w:hAnsi="Times New Roman"/>
          <w:b/>
          <w:bCs/>
          <w:sz w:val="24"/>
          <w:szCs w:val="24"/>
        </w:rPr>
        <w:t xml:space="preserve">Раздел </w:t>
      </w:r>
      <w:r w:rsidRPr="008A3BFC">
        <w:rPr>
          <w:rFonts w:ascii="Times New Roman" w:hAnsi="Times New Roman"/>
          <w:b/>
          <w:bCs/>
          <w:sz w:val="24"/>
          <w:szCs w:val="24"/>
          <w:lang w:val="en-US"/>
        </w:rPr>
        <w:t>II</w:t>
      </w:r>
      <w:r w:rsidRPr="008A3BFC">
        <w:rPr>
          <w:rFonts w:ascii="Times New Roman" w:hAnsi="Times New Roman"/>
          <w:b/>
          <w:bCs/>
          <w:sz w:val="24"/>
          <w:szCs w:val="24"/>
        </w:rPr>
        <w:t>. Реальный сектор экономики</w:t>
      </w:r>
    </w:p>
    <w:p w:rsidR="00055A4C"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Основными бюджетообразующими отраслями реального сектора экономики муниципального образования Чемальский район являются торговля, деятельность гостиниц и общественного питания.</w:t>
      </w:r>
    </w:p>
    <w:p w:rsidR="004D2DF8" w:rsidRPr="008A3BFC" w:rsidRDefault="004D2DF8" w:rsidP="00055A4C">
      <w:pPr>
        <w:suppressAutoHyphens/>
        <w:spacing w:after="0"/>
        <w:ind w:firstLine="567"/>
        <w:jc w:val="both"/>
        <w:rPr>
          <w:rFonts w:ascii="Times New Roman" w:eastAsia="Times New Roman" w:hAnsi="Times New Roman"/>
          <w:b/>
          <w:bCs/>
          <w:sz w:val="24"/>
          <w:szCs w:val="24"/>
          <w:lang w:eastAsia="ar-SA"/>
        </w:rPr>
      </w:pPr>
      <w:r w:rsidRPr="008A3BFC">
        <w:rPr>
          <w:rFonts w:ascii="Times New Roman" w:hAnsi="Times New Roman"/>
          <w:b/>
          <w:sz w:val="24"/>
          <w:szCs w:val="24"/>
        </w:rPr>
        <w:t xml:space="preserve">2.1. </w:t>
      </w:r>
      <w:r w:rsidRPr="008A3BFC">
        <w:rPr>
          <w:rFonts w:ascii="Times New Roman" w:eastAsia="Times New Roman" w:hAnsi="Times New Roman"/>
          <w:b/>
          <w:bCs/>
          <w:sz w:val="24"/>
          <w:szCs w:val="24"/>
          <w:lang w:eastAsia="ar-SA"/>
        </w:rPr>
        <w:t>Промышленное производство</w:t>
      </w:r>
    </w:p>
    <w:p w:rsidR="004D2DF8" w:rsidRPr="009C12A8" w:rsidRDefault="0F2C6DF2" w:rsidP="00055A4C">
      <w:pPr>
        <w:suppressAutoHyphens/>
        <w:spacing w:after="0"/>
        <w:ind w:firstLine="567"/>
        <w:jc w:val="both"/>
        <w:rPr>
          <w:rFonts w:ascii="Times New Roman" w:eastAsia="Times New Roman" w:hAnsi="Times New Roman"/>
          <w:sz w:val="24"/>
          <w:szCs w:val="24"/>
          <w:lang w:eastAsia="ar-SA"/>
        </w:rPr>
      </w:pPr>
      <w:r w:rsidRPr="009C12A8">
        <w:rPr>
          <w:rFonts w:ascii="Times New Roman" w:eastAsia="Times New Roman" w:hAnsi="Times New Roman"/>
          <w:sz w:val="24"/>
          <w:szCs w:val="24"/>
          <w:lang w:eastAsia="ar-SA"/>
        </w:rPr>
        <w:t xml:space="preserve">Количество предприятий и организаций по «чистым видам» экономической деятельности в сфере промышленности, действующих по состоянию на 01.07.2019 г., по МО «Чемальский район» составило 22 ед., что к аналогичному периоду прошлого </w:t>
      </w:r>
      <w:r w:rsidR="00205189" w:rsidRPr="009C12A8">
        <w:rPr>
          <w:rFonts w:ascii="Times New Roman" w:eastAsia="Times New Roman" w:hAnsi="Times New Roman"/>
          <w:sz w:val="24"/>
          <w:szCs w:val="24"/>
          <w:lang w:eastAsia="ar-SA"/>
        </w:rPr>
        <w:t>года</w:t>
      </w:r>
      <w:r w:rsidRPr="009C12A8">
        <w:rPr>
          <w:rFonts w:ascii="Times New Roman" w:eastAsia="Times New Roman" w:hAnsi="Times New Roman"/>
          <w:sz w:val="24"/>
          <w:szCs w:val="24"/>
          <w:lang w:eastAsia="ar-SA"/>
        </w:rPr>
        <w:t xml:space="preserve"> составило </w:t>
      </w:r>
      <w:r w:rsidRPr="009C12A8">
        <w:rPr>
          <w:rFonts w:ascii="Times New Roman" w:eastAsia="Times New Roman" w:hAnsi="Times New Roman"/>
          <w:iCs/>
          <w:sz w:val="24"/>
          <w:szCs w:val="24"/>
          <w:lang w:eastAsia="ar-SA"/>
        </w:rPr>
        <w:t>снижение</w:t>
      </w:r>
      <w:r w:rsidRPr="009C12A8">
        <w:rPr>
          <w:rFonts w:ascii="Times New Roman" w:eastAsia="Times New Roman" w:hAnsi="Times New Roman"/>
          <w:sz w:val="24"/>
          <w:szCs w:val="24"/>
          <w:lang w:eastAsia="ar-SA"/>
        </w:rPr>
        <w:t xml:space="preserve"> на 2 ед. (на 01.07.2018 г. – 24 ед.).</w:t>
      </w:r>
    </w:p>
    <w:p w:rsidR="00193506" w:rsidRPr="009C12A8" w:rsidRDefault="0F2C6DF2" w:rsidP="00055A4C">
      <w:pPr>
        <w:spacing w:after="0"/>
        <w:ind w:firstLine="567"/>
        <w:jc w:val="both"/>
        <w:rPr>
          <w:rFonts w:ascii="Times New Roman" w:hAnsi="Times New Roman"/>
          <w:bCs/>
          <w:sz w:val="24"/>
          <w:szCs w:val="24"/>
        </w:rPr>
      </w:pPr>
      <w:r w:rsidRPr="009C12A8">
        <w:rPr>
          <w:rFonts w:ascii="Times New Roman" w:hAnsi="Times New Roman"/>
          <w:bCs/>
          <w:iCs/>
          <w:sz w:val="24"/>
          <w:szCs w:val="24"/>
        </w:rPr>
        <w:lastRenderedPageBreak/>
        <w:t>Объем отгруженных товаров собственного производства, выполнено работ и услуг собственными силами (без субъектов малого предпринимательства)</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состоянию на 01.07.2019 г. объем отгруженных товаров собственного производства, выполненных работ и услуг собственными силами предприятий, составил 149,6 млн. руб., темп роста к аналогичному периоду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составил 85,3 % (на 01.07.2018 г. – 175,4 млн. руб.). На душу населения данный показатель составил 14,2 тыс. руб.</w:t>
      </w:r>
    </w:p>
    <w:p w:rsidR="0F2C6DF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объема отгруженных товаров собственного производства, выполненных работ и услуг собственными силами предприятий на (-) 17,7 процентных пунктов.</w:t>
      </w:r>
    </w:p>
    <w:p w:rsidR="0F2C6DF2"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связана с</w:t>
      </w:r>
      <w:r w:rsidRPr="009C12A8">
        <w:rPr>
          <w:rFonts w:ascii="Times New Roman" w:eastAsia="Times New Roman" w:hAnsi="Times New Roman"/>
          <w:color w:val="FF0000"/>
          <w:sz w:val="24"/>
          <w:szCs w:val="24"/>
        </w:rPr>
        <w:t xml:space="preserve">: </w:t>
      </w:r>
      <w:r w:rsidRPr="009C12A8">
        <w:rPr>
          <w:rFonts w:ascii="Times New Roman" w:eastAsia="Times New Roman" w:hAnsi="Times New Roman"/>
          <w:sz w:val="24"/>
          <w:szCs w:val="24"/>
        </w:rPr>
        <w:t>небольшим сокращением объема отгруженных товаров собственного производства, выполненных работ и услуг собственными силами предприятий по виду деятельности Р «Образование», Q «Деятельность в области здравоохранения и социальных услуг».</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Увеличение общего объема отгруженных товаров собственного производства, выполненных работ и услуг собственными силами предприятий на 01.07.2019 г. обусловлено следующими разделами:</w:t>
      </w:r>
    </w:p>
    <w:p w:rsidR="0F2C6DF2"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разделу R «Деятельность в области культуры, спорта, организации досуга и развлечений», </w:t>
      </w:r>
      <w:r w:rsidRPr="009C12A8">
        <w:rPr>
          <w:rFonts w:ascii="Times New Roman" w:eastAsia="Times New Roman" w:hAnsi="Times New Roman"/>
          <w:iCs/>
          <w:sz w:val="24"/>
          <w:szCs w:val="24"/>
        </w:rPr>
        <w:t>увеличение</w:t>
      </w:r>
      <w:r w:rsidRPr="009C12A8">
        <w:rPr>
          <w:rFonts w:ascii="Times New Roman" w:eastAsia="Times New Roman" w:hAnsi="Times New Roman"/>
          <w:sz w:val="24"/>
          <w:szCs w:val="24"/>
        </w:rPr>
        <w:t xml:space="preserve"> составило 34,7% к аналогичному периоду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за счет увеличения предоставления платных услуг МБУ.</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Уменьшение общего объема отгруженных товаров собственного производства, выполненных работ и услуг собственными силами предприятий на 01.07.2019 г. отмечено по разделам:</w:t>
      </w:r>
    </w:p>
    <w:p w:rsidR="0F2C6DF2"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разделу Q «Деятельность в области здравоохранения и социальных услуг» </w:t>
      </w:r>
      <w:r w:rsidRPr="009C12A8">
        <w:rPr>
          <w:rFonts w:ascii="Times New Roman" w:eastAsia="Times New Roman" w:hAnsi="Times New Roman"/>
          <w:iCs/>
          <w:sz w:val="24"/>
          <w:szCs w:val="24"/>
        </w:rPr>
        <w:t>снижение</w:t>
      </w:r>
      <w:r w:rsidRPr="009C12A8">
        <w:rPr>
          <w:rFonts w:ascii="Times New Roman" w:eastAsia="Times New Roman" w:hAnsi="Times New Roman"/>
          <w:sz w:val="24"/>
          <w:szCs w:val="24"/>
        </w:rPr>
        <w:t xml:space="preserve"> составило 29,2 % к аналогичному периоду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за счет сокращения предоставления социальных услуг.</w:t>
      </w:r>
    </w:p>
    <w:p w:rsidR="004D2DF8" w:rsidRPr="009C12A8" w:rsidRDefault="5C066F03" w:rsidP="00055A4C">
      <w:pPr>
        <w:suppressAutoHyphens/>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структуре общего объема отгруженных товаров собственного производства, выполненных работ и услуг собственными силами предприятий на 01.07.2019 г. наибольшая доля приходится на раздел I «Деятельность гостиниц и предприятий общественного питания» и составляет 46,8 % от общего объема.</w:t>
      </w:r>
    </w:p>
    <w:p w:rsidR="00193506" w:rsidRPr="009C12A8" w:rsidRDefault="0F2C6DF2" w:rsidP="00055A4C">
      <w:pPr>
        <w:spacing w:after="0"/>
        <w:ind w:firstLine="567"/>
        <w:jc w:val="both"/>
        <w:rPr>
          <w:rFonts w:ascii="Times New Roman" w:hAnsi="Times New Roman"/>
          <w:bCs/>
          <w:sz w:val="24"/>
          <w:szCs w:val="24"/>
        </w:rPr>
      </w:pPr>
      <w:r w:rsidRPr="009C12A8">
        <w:rPr>
          <w:rFonts w:ascii="Times New Roman" w:hAnsi="Times New Roman"/>
          <w:bCs/>
          <w:iCs/>
          <w:sz w:val="24"/>
          <w:szCs w:val="24"/>
        </w:rPr>
        <w:t>Объем промышленного производства</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Объем отгруженных товаров собственного производства, выполненных работ и услуг собственными силами по промышленным видам деятельности (без субъектов малого предпринимательства) на 01.07.2019 г. составил - 6,4 млн. руб., что </w:t>
      </w:r>
      <w:r w:rsidRPr="009C12A8">
        <w:rPr>
          <w:rFonts w:ascii="Times New Roman" w:eastAsia="Times New Roman" w:hAnsi="Times New Roman"/>
          <w:iCs/>
          <w:sz w:val="24"/>
          <w:szCs w:val="24"/>
        </w:rPr>
        <w:t>ниже</w:t>
      </w:r>
      <w:r w:rsidRPr="009C12A8">
        <w:rPr>
          <w:rFonts w:ascii="Times New Roman" w:eastAsia="Times New Roman" w:hAnsi="Times New Roman"/>
          <w:sz w:val="24"/>
          <w:szCs w:val="24"/>
        </w:rPr>
        <w:t xml:space="preserve">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33,4 % (на 01.07.2018 г. - 9,7 млн. руб.).</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ИФО промышленного производства на 01.07.2019 г. составил 63,8 %, что </w:t>
      </w:r>
      <w:r w:rsidRPr="009C12A8">
        <w:rPr>
          <w:rFonts w:ascii="Times New Roman" w:eastAsia="Times New Roman" w:hAnsi="Times New Roman"/>
          <w:iCs/>
          <w:sz w:val="24"/>
          <w:szCs w:val="24"/>
        </w:rPr>
        <w:t>ниже</w:t>
      </w:r>
      <w:r w:rsidRPr="009C12A8">
        <w:rPr>
          <w:rFonts w:ascii="Times New Roman" w:eastAsia="Times New Roman" w:hAnsi="Times New Roman"/>
          <w:sz w:val="24"/>
          <w:szCs w:val="24"/>
        </w:rPr>
        <w:t xml:space="preserve"> уровня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30,9 процентных пунктов (на 01.07.01.2018 г. - 94,7 %).</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ИФО объема промышленного производства на (-) 36,2 процентных пункта.</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связана с:</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 разделу В «Добыча полезных ископаемых». Данные отсутствуют.</w:t>
      </w:r>
    </w:p>
    <w:p w:rsidR="0F2C6DF2"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разделу D «Обеспечение электрической энергией, газом и паром; кондиционирование воздуха» ИФО составил 52,8 %: </w:t>
      </w:r>
      <w:r w:rsidRPr="009C12A8">
        <w:rPr>
          <w:rFonts w:ascii="Times New Roman" w:eastAsia="Times New Roman" w:hAnsi="Times New Roman"/>
          <w:iCs/>
          <w:sz w:val="24"/>
          <w:szCs w:val="24"/>
        </w:rPr>
        <w:t>снижение</w:t>
      </w:r>
      <w:r w:rsidRPr="009C12A8">
        <w:rPr>
          <w:rFonts w:ascii="Times New Roman" w:eastAsia="Times New Roman" w:hAnsi="Times New Roman"/>
          <w:sz w:val="24"/>
          <w:szCs w:val="24"/>
        </w:rPr>
        <w:t xml:space="preserve"> производства </w:t>
      </w:r>
      <w:r w:rsidRPr="009C12A8">
        <w:rPr>
          <w:rFonts w:ascii="Times New Roman" w:eastAsia="Times New Roman" w:hAnsi="Times New Roman"/>
          <w:sz w:val="24"/>
          <w:szCs w:val="24"/>
        </w:rPr>
        <w:lastRenderedPageBreak/>
        <w:t xml:space="preserve">произошло за счет не </w:t>
      </w:r>
      <w:r w:rsidR="00AB1FEA" w:rsidRPr="009C12A8">
        <w:rPr>
          <w:rFonts w:ascii="Times New Roman" w:eastAsia="Times New Roman" w:hAnsi="Times New Roman"/>
          <w:sz w:val="24"/>
          <w:szCs w:val="24"/>
        </w:rPr>
        <w:t>сдачи отчетности базой отдыха</w:t>
      </w:r>
      <w:r w:rsidRPr="009C12A8">
        <w:rPr>
          <w:rFonts w:ascii="Times New Roman" w:eastAsia="Times New Roman" w:hAnsi="Times New Roman"/>
          <w:sz w:val="24"/>
          <w:szCs w:val="24"/>
        </w:rPr>
        <w:t>. Данные будут отражены в отчете за 9 месяцев 2019 г.;</w:t>
      </w:r>
    </w:p>
    <w:p w:rsidR="0F2C6DF2"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разделу С «Обрабатывающие производства» ИФО составил 81,3%: </w:t>
      </w:r>
      <w:r w:rsidRPr="009C12A8">
        <w:rPr>
          <w:rFonts w:ascii="Times New Roman" w:eastAsia="Times New Roman" w:hAnsi="Times New Roman"/>
          <w:iCs/>
          <w:sz w:val="24"/>
          <w:szCs w:val="24"/>
        </w:rPr>
        <w:t>снижение</w:t>
      </w:r>
      <w:r w:rsidRPr="009C12A8">
        <w:rPr>
          <w:rFonts w:ascii="Times New Roman" w:eastAsia="Times New Roman" w:hAnsi="Times New Roman"/>
          <w:sz w:val="24"/>
          <w:szCs w:val="24"/>
        </w:rPr>
        <w:t xml:space="preserve"> производства произошло за счет АУРА, так как они заготавливают продают лес кругляком. Переработкой не занимаются.</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Вывод: </w:t>
      </w:r>
      <w:r w:rsidRPr="009C12A8">
        <w:rPr>
          <w:rFonts w:ascii="Times New Roman" w:eastAsia="Times New Roman" w:hAnsi="Times New Roman"/>
          <w:iCs/>
          <w:sz w:val="24"/>
          <w:szCs w:val="24"/>
        </w:rPr>
        <w:t xml:space="preserve">снижение </w:t>
      </w:r>
      <w:r w:rsidRPr="009C12A8">
        <w:rPr>
          <w:rFonts w:ascii="Times New Roman" w:eastAsia="Times New Roman" w:hAnsi="Times New Roman"/>
          <w:sz w:val="24"/>
          <w:szCs w:val="24"/>
        </w:rPr>
        <w:t>связано и со снижением производства собственной продукции сетевых магазинов, из-за увеличения ассортимента привозной продукции. Также причиной снижения я</w:t>
      </w:r>
      <w:r w:rsidR="008A3BFC">
        <w:rPr>
          <w:rFonts w:ascii="Times New Roman" w:eastAsia="Times New Roman" w:hAnsi="Times New Roman"/>
          <w:sz w:val="24"/>
          <w:szCs w:val="24"/>
        </w:rPr>
        <w:t xml:space="preserve">вляется не сдача отчетности ДЭП </w:t>
      </w:r>
      <w:r w:rsidRPr="009C12A8">
        <w:rPr>
          <w:rFonts w:ascii="Times New Roman" w:eastAsia="Times New Roman" w:hAnsi="Times New Roman"/>
          <w:sz w:val="24"/>
          <w:szCs w:val="24"/>
        </w:rPr>
        <w:t>по разделу</w:t>
      </w:r>
      <w:r w:rsidR="00AB1FEA"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В «Добыча полезных ископаемых».</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целях повышения ИФО на 01.07.2019 г. проведены следующие мероприятия:</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Организациям рекомендовано сдавать своевременно отчетность.</w:t>
      </w:r>
    </w:p>
    <w:p w:rsidR="004D2DF8" w:rsidRPr="000D0488" w:rsidRDefault="004D2DF8" w:rsidP="00055A4C">
      <w:pPr>
        <w:suppressAutoHyphens/>
        <w:spacing w:after="0"/>
        <w:ind w:firstLine="567"/>
        <w:jc w:val="both"/>
        <w:rPr>
          <w:rFonts w:ascii="Times New Roman" w:eastAsia="Times New Roman" w:hAnsi="Times New Roman"/>
          <w:b/>
          <w:bCs/>
          <w:sz w:val="24"/>
          <w:szCs w:val="24"/>
          <w:lang w:eastAsia="ar-SA"/>
        </w:rPr>
      </w:pPr>
      <w:r w:rsidRPr="000D0488">
        <w:rPr>
          <w:rFonts w:ascii="Times New Roman" w:eastAsia="Times New Roman" w:hAnsi="Times New Roman"/>
          <w:b/>
          <w:bCs/>
          <w:sz w:val="24"/>
          <w:szCs w:val="24"/>
          <w:lang w:eastAsia="ar-SA"/>
        </w:rPr>
        <w:t>2.2. Малое и среднее предпринимательство</w:t>
      </w:r>
    </w:p>
    <w:p w:rsidR="00193506" w:rsidRPr="009C12A8" w:rsidRDefault="0F2C6DF2" w:rsidP="00055A4C">
      <w:pPr>
        <w:spacing w:after="0"/>
        <w:ind w:firstLine="567"/>
        <w:jc w:val="both"/>
        <w:rPr>
          <w:rFonts w:ascii="Times New Roman" w:hAnsi="Times New Roman"/>
          <w:bCs/>
          <w:sz w:val="24"/>
          <w:szCs w:val="24"/>
        </w:rPr>
      </w:pPr>
      <w:r w:rsidRPr="009C12A8">
        <w:rPr>
          <w:rFonts w:ascii="Times New Roman" w:hAnsi="Times New Roman"/>
          <w:bCs/>
          <w:iCs/>
          <w:sz w:val="24"/>
          <w:szCs w:val="24"/>
        </w:rPr>
        <w:t>Число субъектов малого и среднего предпринимательства</w:t>
      </w:r>
    </w:p>
    <w:p w:rsidR="00193506"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 состоянию на 01.07.2019 г. на территории МО «Чемальский район» зарегистрировано 116 малых и микро- предприятий, что ниже уровня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7,2 %. Снижение связано с увеличением страховых взносов. </w:t>
      </w:r>
    </w:p>
    <w:p w:rsidR="00193506"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основном преобладают предприятия торговли, деятельности гостиниц и предприятий общественного питания, сельского хозяйства и обрабатывающее производство.</w:t>
      </w:r>
    </w:p>
    <w:p w:rsidR="00193506"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Количество индивидуальных предпринимателей по сравнению с аналогичным периодом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увеличилось на 5 чел. или на 1,4 % и составляет 357 чел. (по состоянию на 01.07.2018 г.– 352 чел.). К причинам увеличения можно отнести открытие туристического сезона.</w:t>
      </w:r>
    </w:p>
    <w:p w:rsidR="00055A4C"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Число субъектов малого и среднего предпринимательства в расчете на 10 тыс. чел. составляет 450,3 ед., что ниже соответствующего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8,6 ед. или на 1,9 %. На снижение числа субъектов малого и среднего предпринимательства повлияло закрытие малых и микро- предприятий. Одна из основных причин - увеличение страховых взносов и закрытие ИП и юридических лиц, в связи с неосуществлением деятельности. УФНС в принудительном порядке закрывают юридические лица, если они не отчитываются в течении трех лет. </w:t>
      </w:r>
    </w:p>
    <w:p w:rsidR="00193506"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Проводится работа по внесению субъектов МСП в ЕРСМСП, которые по каким-либо причинам отсутствуют в данном реестре. Выявлено 38 юридических лиц, из них включено в реестр 10 индивидуальных предпринимателей.</w:t>
      </w:r>
    </w:p>
    <w:p w:rsidR="00193506"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планом на 01.07.2019 г. отмечено отклонение числа субъектов малого и среднего предпринимательства на 10 тыс. </w:t>
      </w:r>
      <w:r w:rsidR="00AB1FEA" w:rsidRPr="009C12A8">
        <w:rPr>
          <w:rFonts w:ascii="Times New Roman" w:eastAsia="Times New Roman" w:hAnsi="Times New Roman"/>
          <w:sz w:val="24"/>
          <w:szCs w:val="24"/>
        </w:rPr>
        <w:t>ч</w:t>
      </w:r>
      <w:r w:rsidRPr="009C12A8">
        <w:rPr>
          <w:rFonts w:ascii="Times New Roman" w:eastAsia="Times New Roman" w:hAnsi="Times New Roman"/>
          <w:sz w:val="24"/>
          <w:szCs w:val="24"/>
        </w:rPr>
        <w:t>ел. на (+) 27,7 ед. Причинами отклонения от планового значения является открытие туристического сезона.</w:t>
      </w:r>
    </w:p>
    <w:p w:rsidR="2618B2B8"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целях ограничения снижения численности работников субъектов малого и сред</w:t>
      </w:r>
      <w:r w:rsidR="00D57793">
        <w:rPr>
          <w:rFonts w:ascii="Times New Roman" w:eastAsia="Times New Roman" w:hAnsi="Times New Roman"/>
          <w:sz w:val="24"/>
          <w:szCs w:val="24"/>
        </w:rPr>
        <w:t>него предпринимательства в МО «</w:t>
      </w:r>
      <w:r w:rsidRPr="009C12A8">
        <w:rPr>
          <w:rFonts w:ascii="Times New Roman" w:eastAsia="Times New Roman" w:hAnsi="Times New Roman"/>
          <w:sz w:val="24"/>
          <w:szCs w:val="24"/>
        </w:rPr>
        <w:t>Чемальский район» проводились следующие мероприятия: </w:t>
      </w:r>
    </w:p>
    <w:p w:rsidR="2618B2B8" w:rsidRPr="009C12A8" w:rsidRDefault="00140909" w:rsidP="00055A4C">
      <w:pPr>
        <w:pStyle w:val="a4"/>
        <w:numPr>
          <w:ilvl w:val="0"/>
          <w:numId w:val="1"/>
        </w:numPr>
        <w:spacing w:after="0"/>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2618B2B8" w:rsidRPr="009C12A8">
        <w:rPr>
          <w:rFonts w:ascii="Times New Roman" w:eastAsia="Times New Roman" w:hAnsi="Times New Roman"/>
          <w:sz w:val="24"/>
          <w:szCs w:val="24"/>
        </w:rPr>
        <w:t>оказывалась субъектам малого и среднего предпринимательства информационная и консультационная поддержки. Также осуществлялся личный прием, консультации по телефону, письменные ответы на обращения субъектов МСП. </w:t>
      </w:r>
    </w:p>
    <w:p w:rsidR="00193506" w:rsidRPr="009C12A8" w:rsidRDefault="0F2C6DF2" w:rsidP="00055A4C">
      <w:pPr>
        <w:spacing w:after="0"/>
        <w:ind w:firstLine="567"/>
        <w:jc w:val="both"/>
        <w:rPr>
          <w:rFonts w:ascii="Times New Roman" w:hAnsi="Times New Roman"/>
          <w:bCs/>
          <w:sz w:val="24"/>
          <w:szCs w:val="24"/>
        </w:rPr>
      </w:pPr>
      <w:r w:rsidRPr="009C12A8">
        <w:rPr>
          <w:rFonts w:ascii="Times New Roman" w:hAnsi="Times New Roman"/>
          <w:bCs/>
          <w:iCs/>
          <w:sz w:val="24"/>
          <w:szCs w:val="24"/>
        </w:rPr>
        <w:t xml:space="preserve">Оборот организаций малого и среднего предпринимательства (без микропредприятий) </w:t>
      </w:r>
    </w:p>
    <w:p w:rsidR="0F2C6DF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lastRenderedPageBreak/>
        <w:t xml:space="preserve">Оборот организаций малого и среднего предпринимательства (без микропредприятий) на 01.07.2019 г. составил 56,5 млн. руб., что выше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44,1 млн. руб. или рост в 4 раза (на 01.07.2018 г. – 12,4 млн. руб.), за счет осуществления деятельности двух организаций (розничная торговля и сдача жилья в наем).</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Оборот малого и среднего предпринимательства (без микропредприятий) на 01.07.2019 г. в расчете на душу населения составил 5,4 тыс. руб., что выше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4,2 тыс. руб. или в 4,5 раза. На увеличениеоборотов организаций малого и среднего предпринимательства повлияло осуществление деятельности двух организаций (розничная торговля и сдача жилья в наем). В 2018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по итогам аналогичного периода одна организация не осуществляла деятельность и одна не отчиталась в статистику.</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Оборот организаций малого и среднего предпринимательства (без микропредприятий) на (+) 3,4 процентных пункта. Причина отклонения от планового значения связана с осуществление деятельности двух организаций, по которым по итогам аналогичного периода не было оборота.</w:t>
      </w:r>
    </w:p>
    <w:p w:rsidR="0F2C6DF2" w:rsidRPr="009C12A8" w:rsidRDefault="0F2C6DF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За отчетный период в реализации государственной программы Республики Алтай «Развитие экономического потенциала и предпринимательства» в рамках подпрограмм «Развитие малого и среднего предпринимательства» и «Развитие внутреннего и въездного туризма» субъекты малого и среднего предпринимательства Чемальского района не принимали участие, так как мероприятия не проводились.</w:t>
      </w:r>
    </w:p>
    <w:p w:rsidR="004D2DF8" w:rsidRPr="009C12A8" w:rsidRDefault="5961EC82" w:rsidP="00055A4C">
      <w:pPr>
        <w:autoSpaceDE w:val="0"/>
        <w:autoSpaceDN w:val="0"/>
        <w:adjustRightInd w:val="0"/>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Кроме того, за отчетный период в рамках муниципальной программы «Развитие экономического потенциала и предпринимательства» в рамках подпрограмм «Развитие малого и среднего предпринимательства» поддержка не оказывалась. Планируется объявление конкурса на оказание поддержки МСП на четвертый квартал 2019 </w:t>
      </w:r>
      <w:r w:rsidR="00205189" w:rsidRPr="009C12A8">
        <w:rPr>
          <w:rFonts w:ascii="Times New Roman" w:eastAsia="Times New Roman" w:hAnsi="Times New Roman"/>
          <w:sz w:val="24"/>
          <w:szCs w:val="24"/>
        </w:rPr>
        <w:t>г.</w:t>
      </w:r>
    </w:p>
    <w:p w:rsidR="73F3F1CF" w:rsidRPr="0064322B" w:rsidRDefault="5961EC82" w:rsidP="00055A4C">
      <w:pPr>
        <w:spacing w:after="0"/>
        <w:ind w:firstLine="567"/>
        <w:jc w:val="both"/>
        <w:rPr>
          <w:rFonts w:ascii="Times New Roman" w:hAnsi="Times New Roman"/>
          <w:b/>
          <w:bCs/>
          <w:sz w:val="24"/>
          <w:szCs w:val="24"/>
        </w:rPr>
      </w:pPr>
      <w:r w:rsidRPr="0064322B">
        <w:rPr>
          <w:rFonts w:ascii="Times New Roman" w:hAnsi="Times New Roman"/>
          <w:b/>
          <w:bCs/>
          <w:sz w:val="24"/>
          <w:szCs w:val="24"/>
        </w:rPr>
        <w:t>2.3. Сельское хозяйство</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аграрном секторе по виду деятельности «Сельское хозяйство» зарегистрировано 5 сельскохозяйственных предприятий, из них фактически осуществляют свою деятельность 4 ед., из которых все 5 являются сельхозорганизациями. Также зарегистрировано 103 крестьянских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4347 личных подсобных хозяйств (далее – ЛПХ).</w:t>
      </w:r>
    </w:p>
    <w:p w:rsidR="004D2DF8"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Объем производства сельскохозяйственной продукции в хозяйствах всех категорий на 01.07.2019 г. в фактически действовавших ценах составил 93,7 млн. руб. (на душу населения 8,9 тыс. руб.), в том числе продукция животноводства – 92,4 млн. руб., продукция растениеводства – 1,3 млн. руб. В сравнении с 01.07.2018 г. наблюдается </w:t>
      </w:r>
      <w:r w:rsidRPr="009C12A8">
        <w:rPr>
          <w:rFonts w:ascii="Times New Roman" w:eastAsia="Times New Roman" w:hAnsi="Times New Roman"/>
          <w:iCs/>
          <w:sz w:val="24"/>
          <w:szCs w:val="24"/>
        </w:rPr>
        <w:t>рост</w:t>
      </w:r>
      <w:r w:rsidRPr="009C12A8">
        <w:rPr>
          <w:rFonts w:ascii="Times New Roman" w:eastAsia="Times New Roman" w:hAnsi="Times New Roman"/>
          <w:sz w:val="24"/>
          <w:szCs w:val="24"/>
        </w:rPr>
        <w:t xml:space="preserve"> объема производства сельскохозяйственной продукции на 6,5 млн. руб. или на 7,5 %, что связано с ростом объемов производства продукции животноводства – пуха, яиц.</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Индекс производства сельскохозяйственной продукции в хозяйствах всех категорий составил 100,1 %, в том числе продукции животноводства — 100,1%, продукции растениеводства - 100,0%. В сравнении с аналогичным периодом </w:t>
      </w:r>
      <w:r w:rsidRPr="009C12A8">
        <w:rPr>
          <w:rFonts w:ascii="Times New Roman" w:eastAsia="Times New Roman" w:hAnsi="Times New Roman"/>
          <w:sz w:val="24"/>
          <w:szCs w:val="24"/>
        </w:rPr>
        <w:lastRenderedPageBreak/>
        <w:t xml:space="preserve">предыдущего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отмечен </w:t>
      </w:r>
      <w:r w:rsidRPr="009C12A8">
        <w:rPr>
          <w:rFonts w:ascii="Times New Roman" w:eastAsia="Times New Roman" w:hAnsi="Times New Roman"/>
          <w:iCs/>
          <w:sz w:val="24"/>
          <w:szCs w:val="24"/>
        </w:rPr>
        <w:t>рост</w:t>
      </w:r>
      <w:r w:rsidRPr="009C12A8">
        <w:rPr>
          <w:rFonts w:ascii="Times New Roman" w:eastAsia="Times New Roman" w:hAnsi="Times New Roman"/>
          <w:sz w:val="24"/>
          <w:szCs w:val="24"/>
        </w:rPr>
        <w:t xml:space="preserve"> индекса производства сельскохозяйственной продукции в хозяйствах всех категорий на 1,6 процентных пунктов.</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Животноводство</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Поголовье скота в хозяйствах всех категорий на 01.07.2019 г. составило:</w:t>
      </w:r>
    </w:p>
    <w:tbl>
      <w:tblPr>
        <w:tblStyle w:val="1"/>
        <w:tblW w:w="0" w:type="auto"/>
        <w:tblLayout w:type="fixed"/>
        <w:tblLook w:val="0000"/>
      </w:tblPr>
      <w:tblGrid>
        <w:gridCol w:w="2256"/>
        <w:gridCol w:w="2256"/>
        <w:gridCol w:w="2256"/>
        <w:gridCol w:w="2256"/>
      </w:tblGrid>
      <w:tr w:rsidR="5961EC82" w:rsidRPr="00055A4C" w:rsidTr="5961EC82">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Поголовье</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на 01.07.2018 г.</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на 01.07.2019 г.</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Темп роста, %</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Крупный рогатый скот,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4742</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4554</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96,0</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 xml:space="preserve">  в т. ч. коров,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1891</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1759</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93,0</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 xml:space="preserve">         из них:</w:t>
            </w:r>
          </w:p>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 xml:space="preserve">     молочного направления,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Овцы и козы,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 xml:space="preserve"> 4149</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3916</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94,4</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Лошади,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5329</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 xml:space="preserve"> 5607</w:t>
            </w:r>
          </w:p>
          <w:p w:rsidR="5961EC82" w:rsidRPr="00055A4C" w:rsidRDefault="5961EC82" w:rsidP="00055A4C">
            <w:pPr>
              <w:spacing w:after="40" w:line="276" w:lineRule="auto"/>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105,2</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Свиньи,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682</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684</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100,3</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Олени-маралы,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2170</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2167</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99,9</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Птица, гол.</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12403</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12371</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99,7</w:t>
            </w:r>
          </w:p>
        </w:tc>
      </w:tr>
    </w:tbl>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в хозяйствах всех категорий:</w:t>
      </w:r>
    </w:p>
    <w:p w:rsidR="00E8248C" w:rsidRPr="009C12A8" w:rsidRDefault="5961EC82" w:rsidP="00E8248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поголовье КРС</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уменьшилось</w:t>
      </w:r>
      <w:r w:rsidRPr="009C12A8">
        <w:rPr>
          <w:rFonts w:ascii="Times New Roman" w:eastAsia="Times New Roman" w:hAnsi="Times New Roman"/>
          <w:sz w:val="24"/>
          <w:szCs w:val="24"/>
        </w:rPr>
        <w:t xml:space="preserve"> на 4% к аналогичному периоду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в</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результате выбраковки основного стада КРС, которое было реализовано населением. Средний вес одной головы КРС в сельскохозяйственных организациях составил 350 кг. В целях увеличения поголовья КРС в хозяйствах всех категорий проведены следующие мероприятия:</w:t>
      </w:r>
    </w:p>
    <w:p w:rsidR="004D2DF8" w:rsidRPr="009C12A8" w:rsidRDefault="5961EC82" w:rsidP="00E8248C">
      <w:pPr>
        <w:spacing w:after="4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 xml:space="preserve">- </w:t>
      </w:r>
      <w:r w:rsidRPr="009C12A8">
        <w:rPr>
          <w:rFonts w:ascii="Times New Roman" w:eastAsia="Times New Roman" w:hAnsi="Times New Roman"/>
          <w:sz w:val="24"/>
          <w:szCs w:val="24"/>
        </w:rPr>
        <w:t xml:space="preserve">в Минсельхоз Республики Алтай поданы были 9 заявок на получение грантовой поддержки семейных (животноводческих) ферм. В результате двум хозяйствам оказана господдержка. В 2019 </w:t>
      </w:r>
      <w:r w:rsidR="007649A8"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на данные средс</w:t>
      </w:r>
      <w:r w:rsidR="0064322B">
        <w:rPr>
          <w:rFonts w:ascii="Times New Roman" w:eastAsia="Times New Roman" w:hAnsi="Times New Roman"/>
          <w:sz w:val="24"/>
          <w:szCs w:val="24"/>
        </w:rPr>
        <w:t>тва будут закуплены КРС ИП ГКФХ.</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на базе ИП ГКФХ ведутся работы по организации разведения КРС (породы герефорд)</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районной ветеринарной службой планируется открытие пунктов искусственного осеменения.</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поголовье овец и коз</w:t>
      </w:r>
      <w:r w:rsidR="00AB1FEA"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уменьшилось</w:t>
      </w:r>
      <w:r w:rsidRPr="009C12A8">
        <w:rPr>
          <w:rFonts w:ascii="Times New Roman" w:eastAsia="Times New Roman" w:hAnsi="Times New Roman"/>
          <w:sz w:val="24"/>
          <w:szCs w:val="24"/>
        </w:rPr>
        <w:t xml:space="preserve"> на 5,6% к аналогичному периоду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 xml:space="preserve">ода </w:t>
      </w:r>
      <w:r w:rsidRPr="009C12A8">
        <w:rPr>
          <w:rFonts w:ascii="Times New Roman" w:eastAsia="Times New Roman" w:hAnsi="Times New Roman"/>
          <w:sz w:val="24"/>
          <w:szCs w:val="24"/>
        </w:rPr>
        <w:t>за счет реализации поголовья овец в ООО. В целях увеличения поголовья овец и коз в хозяйствах всех категорий проведены следующие мероприятия:</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рекомендовано К(Ф)Х, частному сектору развивать овцеводство, открывать торговые точки по реализации баранины.</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поголовье лошадей</w:t>
      </w:r>
      <w:r w:rsidR="00AB1FEA"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увеличилось</w:t>
      </w:r>
      <w:r w:rsidRPr="009C12A8">
        <w:rPr>
          <w:rFonts w:ascii="Times New Roman" w:eastAsia="Times New Roman" w:hAnsi="Times New Roman"/>
          <w:sz w:val="24"/>
          <w:szCs w:val="24"/>
        </w:rPr>
        <w:t xml:space="preserve"> на 5,2% к аналогичному периоду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за счет роста численности поголовья в частном секторе. Средний вес одной головы лошади в сельскохозяйственных организациях составил 400 кг. В целях увеличения поголовья лошадей в хозяйствах всех категорий проведены следующие мероприятия:</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отражение в отчетных данных СХО и КФХ всего поголовья лошадей в целях его дальнейшего чипирования.</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lastRenderedPageBreak/>
        <w:t>поголовье свиней</w:t>
      </w:r>
      <w:r w:rsidR="00AB1FEA"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увеличилось</w:t>
      </w:r>
      <w:r w:rsidRPr="009C12A8">
        <w:rPr>
          <w:rFonts w:ascii="Times New Roman" w:eastAsia="Times New Roman" w:hAnsi="Times New Roman"/>
          <w:sz w:val="24"/>
          <w:szCs w:val="24"/>
        </w:rPr>
        <w:t xml:space="preserve"> на 0,3% к аналогичному периоду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за счет приплода. </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количество птиц</w:t>
      </w:r>
      <w:r w:rsidR="00AB1FEA"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уменьшилось</w:t>
      </w:r>
      <w:r w:rsidRPr="009C12A8">
        <w:rPr>
          <w:rFonts w:ascii="Times New Roman" w:eastAsia="Times New Roman" w:hAnsi="Times New Roman"/>
          <w:sz w:val="24"/>
          <w:szCs w:val="24"/>
        </w:rPr>
        <w:t xml:space="preserve"> на 0,3% к аналогичному периоду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за счет незначительного снижения в частном секторе. </w:t>
      </w:r>
    </w:p>
    <w:p w:rsidR="004D2DF8" w:rsidRPr="009C12A8" w:rsidRDefault="5961EC82"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Рекомендовано лицам, осуществляющим реализацию птицы из Алтайского края продавать не бракованное поголовье. Так как за последние </w:t>
      </w:r>
      <w:r w:rsidR="00205189" w:rsidRPr="009C12A8">
        <w:rPr>
          <w:rFonts w:ascii="Times New Roman" w:eastAsia="Times New Roman" w:hAnsi="Times New Roman"/>
          <w:sz w:val="24"/>
          <w:szCs w:val="24"/>
        </w:rPr>
        <w:t>год</w:t>
      </w:r>
      <w:r w:rsidRPr="009C12A8">
        <w:rPr>
          <w:rFonts w:ascii="Times New Roman" w:eastAsia="Times New Roman" w:hAnsi="Times New Roman"/>
          <w:sz w:val="24"/>
          <w:szCs w:val="24"/>
        </w:rPr>
        <w:t>ы качество купленного продукта очень низкое, что соответственно влияет на разведение птицы.</w:t>
      </w:r>
    </w:p>
    <w:p w:rsidR="004D2DF8" w:rsidRPr="009C12A8" w:rsidRDefault="5C066F03" w:rsidP="00055A4C">
      <w:pPr>
        <w:spacing w:after="4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Производство продуктов животноводства в хозяйствах всех категорий на 01.07.2019 г. составило:</w:t>
      </w:r>
    </w:p>
    <w:tbl>
      <w:tblPr>
        <w:tblStyle w:val="1"/>
        <w:tblW w:w="0" w:type="auto"/>
        <w:tblLayout w:type="fixed"/>
        <w:tblLook w:val="0000"/>
      </w:tblPr>
      <w:tblGrid>
        <w:gridCol w:w="2256"/>
        <w:gridCol w:w="2256"/>
        <w:gridCol w:w="2256"/>
        <w:gridCol w:w="2256"/>
      </w:tblGrid>
      <w:tr w:rsidR="5961EC82" w:rsidRPr="00055A4C" w:rsidTr="5961EC82">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Наименование продукции</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на 01.07.2018 г.</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на 01.07.2019 г.</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Темп роста, %</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 xml:space="preserve">Скот и птица на убой в живом весе, </w:t>
            </w:r>
            <w:r w:rsidR="007649A8">
              <w:rPr>
                <w:rFonts w:ascii="Times New Roman" w:eastAsia="Times New Roman" w:hAnsi="Times New Roman"/>
                <w:sz w:val="24"/>
                <w:szCs w:val="24"/>
              </w:rPr>
              <w:t>т.</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77,4</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112,2</w:t>
            </w:r>
          </w:p>
          <w:p w:rsidR="5961EC82" w:rsidRPr="00055A4C" w:rsidRDefault="5961EC82" w:rsidP="00055A4C">
            <w:pPr>
              <w:spacing w:after="40" w:line="276" w:lineRule="auto"/>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145,0</w:t>
            </w:r>
          </w:p>
        </w:tc>
      </w:tr>
      <w:tr w:rsidR="5961EC82" w:rsidRPr="00055A4C" w:rsidTr="5961EC82">
        <w:tc>
          <w:tcPr>
            <w:tcW w:w="2256" w:type="dxa"/>
          </w:tcPr>
          <w:p w:rsidR="5961EC82" w:rsidRPr="00055A4C" w:rsidRDefault="5961EC82" w:rsidP="00055A4C">
            <w:pPr>
              <w:spacing w:after="40" w:line="276" w:lineRule="auto"/>
              <w:jc w:val="both"/>
              <w:rPr>
                <w:rFonts w:ascii="Times New Roman" w:eastAsia="Times New Roman" w:hAnsi="Times New Roman"/>
                <w:sz w:val="24"/>
                <w:szCs w:val="24"/>
              </w:rPr>
            </w:pPr>
            <w:r w:rsidRPr="00055A4C">
              <w:rPr>
                <w:rFonts w:ascii="Times New Roman" w:eastAsia="Times New Roman" w:hAnsi="Times New Roman"/>
                <w:sz w:val="24"/>
                <w:szCs w:val="24"/>
              </w:rPr>
              <w:t xml:space="preserve">Молоко, </w:t>
            </w:r>
            <w:r w:rsidR="007649A8">
              <w:rPr>
                <w:rFonts w:ascii="Times New Roman" w:eastAsia="Times New Roman" w:hAnsi="Times New Roman"/>
                <w:sz w:val="24"/>
                <w:szCs w:val="24"/>
              </w:rPr>
              <w:t>т.</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1021,0</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1012,1</w:t>
            </w:r>
          </w:p>
        </w:tc>
        <w:tc>
          <w:tcPr>
            <w:tcW w:w="2256" w:type="dxa"/>
          </w:tcPr>
          <w:p w:rsidR="5961EC82" w:rsidRPr="00055A4C" w:rsidRDefault="5961EC82" w:rsidP="00055A4C">
            <w:pPr>
              <w:spacing w:after="40"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99,1</w:t>
            </w:r>
          </w:p>
        </w:tc>
      </w:tr>
      <w:tr w:rsidR="5961EC82" w:rsidRPr="00055A4C" w:rsidTr="5961EC82">
        <w:tc>
          <w:tcPr>
            <w:tcW w:w="2256" w:type="dxa"/>
          </w:tcPr>
          <w:p w:rsidR="5961EC82" w:rsidRPr="00055A4C" w:rsidRDefault="5961EC82" w:rsidP="00055A4C">
            <w:pPr>
              <w:spacing w:after="40" w:line="276" w:lineRule="auto"/>
              <w:rPr>
                <w:rFonts w:ascii="Times New Roman" w:eastAsia="Times New Roman" w:hAnsi="Times New Roman"/>
                <w:sz w:val="24"/>
                <w:szCs w:val="24"/>
              </w:rPr>
            </w:pPr>
            <w:r w:rsidRPr="00055A4C">
              <w:rPr>
                <w:rFonts w:ascii="Times New Roman" w:eastAsia="Times New Roman" w:hAnsi="Times New Roman"/>
                <w:sz w:val="24"/>
                <w:szCs w:val="24"/>
              </w:rPr>
              <w:t xml:space="preserve">   в т.ч. в сельскохозяйственных организациях и крестьянских (фермерских) хозяйствах, включая индивидуальных предпринимателей, </w:t>
            </w:r>
            <w:r w:rsidR="007649A8">
              <w:rPr>
                <w:rFonts w:ascii="Times New Roman" w:eastAsia="Times New Roman" w:hAnsi="Times New Roman"/>
                <w:sz w:val="24"/>
                <w:szCs w:val="24"/>
              </w:rPr>
              <w:t>т.</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46,4</w:t>
            </w:r>
          </w:p>
          <w:p w:rsidR="5961EC82" w:rsidRPr="00055A4C" w:rsidRDefault="5961EC82" w:rsidP="00055A4C">
            <w:pPr>
              <w:spacing w:after="40" w:line="276" w:lineRule="auto"/>
              <w:ind w:firstLine="18"/>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16,9</w:t>
            </w:r>
          </w:p>
          <w:p w:rsidR="5961EC82" w:rsidRPr="00055A4C" w:rsidRDefault="5961EC82" w:rsidP="00055A4C">
            <w:pPr>
              <w:spacing w:after="40" w:line="276" w:lineRule="auto"/>
              <w:ind w:firstLine="18"/>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36,4</w:t>
            </w:r>
          </w:p>
        </w:tc>
      </w:tr>
      <w:tr w:rsidR="5961EC82" w:rsidRPr="00055A4C" w:rsidTr="5961EC82">
        <w:tc>
          <w:tcPr>
            <w:tcW w:w="2256" w:type="dxa"/>
          </w:tcPr>
          <w:p w:rsidR="5961EC82" w:rsidRPr="00055A4C" w:rsidRDefault="5961EC82" w:rsidP="00055A4C">
            <w:pPr>
              <w:spacing w:after="40" w:line="276" w:lineRule="auto"/>
              <w:jc w:val="both"/>
              <w:rPr>
                <w:rFonts w:ascii="Times New Roman" w:eastAsia="Times New Roman" w:hAnsi="Times New Roman"/>
                <w:sz w:val="24"/>
                <w:szCs w:val="24"/>
              </w:rPr>
            </w:pPr>
            <w:r w:rsidRPr="00055A4C">
              <w:rPr>
                <w:rFonts w:ascii="Times New Roman" w:eastAsia="Times New Roman" w:hAnsi="Times New Roman"/>
                <w:sz w:val="24"/>
                <w:szCs w:val="24"/>
              </w:rPr>
              <w:t xml:space="preserve">Шерсть, </w:t>
            </w:r>
            <w:r w:rsidR="007649A8">
              <w:rPr>
                <w:rFonts w:ascii="Times New Roman" w:eastAsia="Times New Roman" w:hAnsi="Times New Roman"/>
                <w:sz w:val="24"/>
                <w:szCs w:val="24"/>
              </w:rPr>
              <w:t>т.</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5,8</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16,8</w:t>
            </w:r>
          </w:p>
          <w:p w:rsidR="5961EC82" w:rsidRPr="00055A4C" w:rsidRDefault="5961EC82" w:rsidP="00055A4C">
            <w:pPr>
              <w:spacing w:after="40" w:line="276" w:lineRule="auto"/>
              <w:ind w:firstLine="18"/>
              <w:jc w:val="center"/>
              <w:rPr>
                <w:rFonts w:ascii="Times New Roman" w:eastAsia="Times New Roman" w:hAnsi="Times New Roman"/>
                <w:sz w:val="24"/>
                <w:szCs w:val="24"/>
              </w:rPr>
            </w:pP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289,7 (2,9 раз)</w:t>
            </w:r>
          </w:p>
        </w:tc>
      </w:tr>
      <w:tr w:rsidR="5961EC82" w:rsidRPr="00055A4C" w:rsidTr="5961EC82">
        <w:tc>
          <w:tcPr>
            <w:tcW w:w="2256" w:type="dxa"/>
          </w:tcPr>
          <w:p w:rsidR="5961EC82" w:rsidRPr="00055A4C" w:rsidRDefault="5961EC82" w:rsidP="00055A4C">
            <w:pPr>
              <w:spacing w:after="40" w:line="276" w:lineRule="auto"/>
              <w:jc w:val="both"/>
              <w:rPr>
                <w:rFonts w:ascii="Times New Roman" w:eastAsia="Times New Roman" w:hAnsi="Times New Roman"/>
                <w:sz w:val="24"/>
                <w:szCs w:val="24"/>
              </w:rPr>
            </w:pPr>
            <w:r w:rsidRPr="00055A4C">
              <w:rPr>
                <w:rFonts w:ascii="Times New Roman" w:eastAsia="Times New Roman" w:hAnsi="Times New Roman"/>
                <w:sz w:val="24"/>
                <w:szCs w:val="24"/>
              </w:rPr>
              <w:t>Яйца, тыс. шт.</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294,6</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292,0</w:t>
            </w:r>
          </w:p>
        </w:tc>
        <w:tc>
          <w:tcPr>
            <w:tcW w:w="2256" w:type="dxa"/>
          </w:tcPr>
          <w:p w:rsidR="5961EC82" w:rsidRPr="00055A4C" w:rsidRDefault="5961EC82" w:rsidP="00055A4C">
            <w:pPr>
              <w:spacing w:after="40" w:line="276" w:lineRule="auto"/>
              <w:ind w:firstLine="18"/>
              <w:jc w:val="center"/>
              <w:rPr>
                <w:rFonts w:ascii="Times New Roman" w:eastAsia="Times New Roman" w:hAnsi="Times New Roman"/>
                <w:sz w:val="24"/>
                <w:szCs w:val="24"/>
              </w:rPr>
            </w:pPr>
            <w:r w:rsidRPr="00055A4C">
              <w:rPr>
                <w:rFonts w:ascii="Times New Roman" w:eastAsia="Times New Roman" w:hAnsi="Times New Roman"/>
                <w:sz w:val="24"/>
                <w:szCs w:val="24"/>
              </w:rPr>
              <w:t>99,1</w:t>
            </w:r>
          </w:p>
        </w:tc>
      </w:tr>
    </w:tbl>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в хозяйствах всех категорий:</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производство мяса на убой (в живой массе) составило 112,2 </w:t>
      </w:r>
      <w:r w:rsidR="009C12A8" w:rsidRPr="009C12A8">
        <w:rPr>
          <w:rFonts w:ascii="Times New Roman" w:eastAsia="Times New Roman" w:hAnsi="Times New Roman"/>
          <w:sz w:val="24"/>
          <w:szCs w:val="24"/>
        </w:rPr>
        <w:t>т.</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ИП ГКФХ)</w:t>
      </w:r>
      <w:r w:rsidRPr="009C12A8">
        <w:rPr>
          <w:rFonts w:ascii="Times New Roman" w:eastAsia="Times New Roman" w:hAnsi="Times New Roman"/>
          <w:sz w:val="24"/>
          <w:szCs w:val="24"/>
        </w:rPr>
        <w:t xml:space="preserve">, что </w:t>
      </w:r>
      <w:r w:rsidRPr="009C12A8">
        <w:rPr>
          <w:rFonts w:ascii="Times New Roman" w:eastAsia="Times New Roman" w:hAnsi="Times New Roman"/>
          <w:iCs/>
          <w:sz w:val="24"/>
          <w:szCs w:val="24"/>
        </w:rPr>
        <w:t>выше</w:t>
      </w:r>
      <w:r w:rsidRPr="009C12A8">
        <w:rPr>
          <w:rFonts w:ascii="Times New Roman" w:eastAsia="Times New Roman" w:hAnsi="Times New Roman"/>
          <w:sz w:val="24"/>
          <w:szCs w:val="24"/>
        </w:rPr>
        <w:t xml:space="preserve"> уровня аналогичного периода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на 45%, увеличение связано с увеличением реализации поголовья КРС в частном секторе.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производство молока в хозяйствах всех категорий составило 1012,1 </w:t>
      </w:r>
      <w:r w:rsidR="007649A8" w:rsidRPr="009C12A8">
        <w:rPr>
          <w:rFonts w:ascii="Times New Roman" w:eastAsia="Times New Roman" w:hAnsi="Times New Roman"/>
          <w:sz w:val="24"/>
          <w:szCs w:val="24"/>
        </w:rPr>
        <w:t>т.</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основные производители</w:t>
      </w:r>
      <w:r w:rsidR="009C12A8">
        <w:rPr>
          <w:rFonts w:ascii="Times New Roman" w:eastAsia="Times New Roman" w:hAnsi="Times New Roman"/>
          <w:iCs/>
          <w:sz w:val="24"/>
          <w:szCs w:val="24"/>
        </w:rPr>
        <w:t xml:space="preserve"> </w:t>
      </w:r>
      <w:r w:rsidRPr="009C12A8">
        <w:rPr>
          <w:rFonts w:ascii="Times New Roman" w:eastAsia="Times New Roman" w:hAnsi="Times New Roman"/>
          <w:iCs/>
          <w:sz w:val="24"/>
          <w:szCs w:val="24"/>
        </w:rPr>
        <w:t>- частный сектор</w:t>
      </w:r>
      <w:r w:rsidRPr="009C12A8">
        <w:rPr>
          <w:rFonts w:ascii="Times New Roman" w:eastAsia="Times New Roman" w:hAnsi="Times New Roman"/>
          <w:sz w:val="24"/>
          <w:szCs w:val="24"/>
        </w:rPr>
        <w:t xml:space="preserve">), что на 0,9 % </w:t>
      </w:r>
      <w:r w:rsidRPr="009C12A8">
        <w:rPr>
          <w:rFonts w:ascii="Times New Roman" w:eastAsia="Times New Roman" w:hAnsi="Times New Roman"/>
          <w:iCs/>
          <w:sz w:val="24"/>
          <w:szCs w:val="24"/>
        </w:rPr>
        <w:t>ниже</w:t>
      </w:r>
      <w:r w:rsidRPr="009C12A8">
        <w:rPr>
          <w:rFonts w:ascii="Times New Roman" w:eastAsia="Times New Roman" w:hAnsi="Times New Roman"/>
          <w:sz w:val="24"/>
          <w:szCs w:val="24"/>
        </w:rPr>
        <w:t xml:space="preserve"> уровня аналогичного периода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Снижение</w:t>
      </w:r>
      <w:r w:rsidRPr="009C12A8">
        <w:rPr>
          <w:rFonts w:ascii="Times New Roman" w:eastAsia="Times New Roman" w:hAnsi="Times New Roman"/>
          <w:sz w:val="24"/>
          <w:szCs w:val="24"/>
        </w:rPr>
        <w:t xml:space="preserve"> связано с сокращением коров в частном секторе.</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 В связи с отсутствием в сельхозорганизациях молочных коров надой на 1 корову не определяется.</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производство молока в сельскохозяйственных организациях и крестьянских(фермерских) хозяйствах, включая индивидуальных предпринимателей</w:t>
      </w:r>
      <w:r w:rsidRPr="009C12A8">
        <w:rPr>
          <w:rFonts w:ascii="Times New Roman" w:eastAsia="Arial" w:hAnsi="Times New Roman"/>
          <w:sz w:val="24"/>
          <w:szCs w:val="24"/>
        </w:rPr>
        <w:t>,</w:t>
      </w:r>
      <w:r w:rsidRPr="009C12A8">
        <w:rPr>
          <w:rFonts w:ascii="Times New Roman" w:eastAsia="Times New Roman" w:hAnsi="Times New Roman"/>
          <w:sz w:val="24"/>
          <w:szCs w:val="24"/>
        </w:rPr>
        <w:t xml:space="preserve"> составило 16,9 </w:t>
      </w:r>
      <w:r w:rsidR="007649A8" w:rsidRPr="009C12A8">
        <w:rPr>
          <w:rFonts w:ascii="Times New Roman" w:eastAsia="Times New Roman" w:hAnsi="Times New Roman"/>
          <w:sz w:val="24"/>
          <w:szCs w:val="24"/>
        </w:rPr>
        <w:t>т.</w:t>
      </w:r>
      <w:r w:rsidRPr="009C12A8">
        <w:rPr>
          <w:rFonts w:ascii="Times New Roman" w:eastAsia="Times New Roman" w:hAnsi="Times New Roman"/>
          <w:sz w:val="24"/>
          <w:szCs w:val="24"/>
        </w:rPr>
        <w:t xml:space="preserve"> </w:t>
      </w:r>
      <w:r w:rsidRPr="009C12A8">
        <w:rPr>
          <w:rFonts w:ascii="Times New Roman" w:eastAsia="Arial" w:hAnsi="Times New Roman"/>
          <w:sz w:val="24"/>
          <w:szCs w:val="24"/>
        </w:rPr>
        <w:t>(</w:t>
      </w:r>
      <w:r w:rsidRPr="009C12A8">
        <w:rPr>
          <w:rFonts w:ascii="Times New Roman" w:eastAsia="Times New Roman" w:hAnsi="Times New Roman"/>
          <w:iCs/>
          <w:sz w:val="24"/>
          <w:szCs w:val="24"/>
        </w:rPr>
        <w:t>КФХ</w:t>
      </w:r>
      <w:r w:rsidRPr="009C12A8">
        <w:rPr>
          <w:rFonts w:ascii="Times New Roman" w:eastAsia="Times New Roman" w:hAnsi="Times New Roman"/>
          <w:sz w:val="24"/>
          <w:szCs w:val="24"/>
        </w:rPr>
        <w:t xml:space="preserve">), что </w:t>
      </w:r>
      <w:r w:rsidRPr="009C12A8">
        <w:rPr>
          <w:rFonts w:ascii="Times New Roman" w:eastAsia="Times New Roman" w:hAnsi="Times New Roman"/>
          <w:iCs/>
          <w:sz w:val="24"/>
          <w:szCs w:val="24"/>
        </w:rPr>
        <w:t>ниже</w:t>
      </w:r>
      <w:r w:rsidRPr="009C12A8">
        <w:rPr>
          <w:rFonts w:ascii="Times New Roman" w:eastAsia="Times New Roman" w:hAnsi="Times New Roman"/>
          <w:sz w:val="24"/>
          <w:szCs w:val="24"/>
        </w:rPr>
        <w:t xml:space="preserve"> уровня аналогичного периода прошлого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ода</w:t>
      </w:r>
      <w:r w:rsidRPr="009C12A8">
        <w:rPr>
          <w:rFonts w:ascii="Times New Roman" w:eastAsia="Times New Roman" w:hAnsi="Times New Roman"/>
          <w:sz w:val="24"/>
          <w:szCs w:val="24"/>
        </w:rPr>
        <w:t xml:space="preserve"> на </w:t>
      </w:r>
      <w:r w:rsidRPr="009C12A8">
        <w:rPr>
          <w:rFonts w:ascii="Times New Roman" w:eastAsia="Times New Roman" w:hAnsi="Times New Roman"/>
          <w:sz w:val="24"/>
          <w:szCs w:val="24"/>
        </w:rPr>
        <w:lastRenderedPageBreak/>
        <w:t xml:space="preserve">63,6% (на 01.07.2018 г. - 46,4 </w:t>
      </w:r>
      <w:r w:rsidR="007649A8" w:rsidRPr="009C12A8">
        <w:rPr>
          <w:rFonts w:ascii="Times New Roman" w:eastAsia="Times New Roman" w:hAnsi="Times New Roman"/>
          <w:sz w:val="24"/>
          <w:szCs w:val="24"/>
        </w:rPr>
        <w:t>т.</w:t>
      </w:r>
      <w:r w:rsidRPr="009C12A8">
        <w:rPr>
          <w:rFonts w:ascii="Times New Roman" w:eastAsia="Times New Roman" w:hAnsi="Times New Roman"/>
          <w:sz w:val="24"/>
          <w:szCs w:val="24"/>
        </w:rPr>
        <w:t>). Снижение связано с</w:t>
      </w:r>
      <w:r w:rsidR="0064322B">
        <w:rPr>
          <w:rFonts w:ascii="Times New Roman" w:eastAsia="Times New Roman" w:hAnsi="Times New Roman"/>
          <w:sz w:val="24"/>
          <w:szCs w:val="24"/>
        </w:rPr>
        <w:t xml:space="preserve"> </w:t>
      </w:r>
      <w:r w:rsidRPr="009C12A8">
        <w:rPr>
          <w:rFonts w:ascii="Times New Roman" w:eastAsia="Times New Roman" w:hAnsi="Times New Roman"/>
          <w:sz w:val="24"/>
          <w:szCs w:val="24"/>
        </w:rPr>
        <w:t>закрытием деятельности 10 крестьянских хозяйств.</w:t>
      </w:r>
    </w:p>
    <w:p w:rsidR="004D2DF8"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производство шерсти составило 16,8 </w:t>
      </w:r>
      <w:r w:rsidR="007649A8" w:rsidRPr="009C12A8">
        <w:rPr>
          <w:rFonts w:ascii="Times New Roman" w:eastAsia="Times New Roman" w:hAnsi="Times New Roman"/>
          <w:sz w:val="24"/>
          <w:szCs w:val="24"/>
        </w:rPr>
        <w:t>т.</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ИП ГКФХ</w:t>
      </w:r>
      <w:r w:rsidRPr="009C12A8">
        <w:rPr>
          <w:rFonts w:ascii="Times New Roman" w:eastAsia="Times New Roman" w:hAnsi="Times New Roman"/>
          <w:sz w:val="24"/>
          <w:szCs w:val="24"/>
        </w:rPr>
        <w:t xml:space="preserve">), что в 2.9 раз </w:t>
      </w:r>
      <w:r w:rsidRPr="009C12A8">
        <w:rPr>
          <w:rFonts w:ascii="Times New Roman" w:eastAsia="Times New Roman" w:hAnsi="Times New Roman"/>
          <w:iCs/>
          <w:sz w:val="24"/>
          <w:szCs w:val="24"/>
        </w:rPr>
        <w:t>выше</w:t>
      </w:r>
      <w:r w:rsidRPr="009C12A8">
        <w:rPr>
          <w:rFonts w:ascii="Times New Roman" w:eastAsia="Times New Roman" w:hAnsi="Times New Roman"/>
          <w:sz w:val="24"/>
          <w:szCs w:val="24"/>
        </w:rPr>
        <w:t xml:space="preserve"> уровня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Увеличение</w:t>
      </w:r>
      <w:r w:rsidRPr="009C12A8">
        <w:rPr>
          <w:rFonts w:ascii="Times New Roman" w:eastAsia="Times New Roman" w:hAnsi="Times New Roman"/>
          <w:sz w:val="24"/>
          <w:szCs w:val="24"/>
        </w:rPr>
        <w:t xml:space="preserve"> связано с тем, что в крестьянском хозяйстве В.Л. производится закуп баранчиков.</w:t>
      </w:r>
    </w:p>
    <w:p w:rsidR="004D2DF8"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сельхозтоваропроизводителей на общую сумму 1,1 млн. руб. (на 01.07.2018 г. – 1,3 млн. руб.). Государственная поддержка оказана 16 сельхозтоваропроизводителям, в т.ч.  1 сельхозорганизации, 15 КФХ и ИП.</w:t>
      </w:r>
    </w:p>
    <w:p w:rsidR="004D2DF8" w:rsidRPr="0064322B" w:rsidRDefault="004D2DF8" w:rsidP="0064322B">
      <w:pPr>
        <w:spacing w:after="0"/>
        <w:ind w:firstLine="567"/>
        <w:jc w:val="center"/>
        <w:rPr>
          <w:rFonts w:ascii="Times New Roman" w:hAnsi="Times New Roman"/>
          <w:b/>
          <w:bCs/>
          <w:sz w:val="24"/>
          <w:szCs w:val="24"/>
        </w:rPr>
      </w:pPr>
      <w:r w:rsidRPr="0064322B">
        <w:rPr>
          <w:rFonts w:ascii="Times New Roman" w:hAnsi="Times New Roman"/>
          <w:b/>
          <w:bCs/>
          <w:sz w:val="24"/>
          <w:szCs w:val="24"/>
        </w:rPr>
        <w:t xml:space="preserve">Раздел </w:t>
      </w:r>
      <w:r w:rsidRPr="0064322B">
        <w:rPr>
          <w:rFonts w:ascii="Times New Roman" w:hAnsi="Times New Roman"/>
          <w:b/>
          <w:bCs/>
          <w:sz w:val="24"/>
          <w:szCs w:val="24"/>
          <w:lang w:val="en-US"/>
        </w:rPr>
        <w:t>III</w:t>
      </w:r>
      <w:r w:rsidRPr="0064322B">
        <w:rPr>
          <w:rFonts w:ascii="Times New Roman" w:hAnsi="Times New Roman"/>
          <w:b/>
          <w:bCs/>
          <w:sz w:val="24"/>
          <w:szCs w:val="24"/>
        </w:rPr>
        <w:t>. Инвестиционная привлекательность</w:t>
      </w:r>
    </w:p>
    <w:p w:rsidR="004D2DF8" w:rsidRPr="0064322B" w:rsidRDefault="5961EC82" w:rsidP="00055A4C">
      <w:pPr>
        <w:spacing w:after="0"/>
        <w:ind w:firstLine="567"/>
        <w:jc w:val="both"/>
        <w:rPr>
          <w:rFonts w:ascii="Times New Roman" w:hAnsi="Times New Roman"/>
          <w:b/>
          <w:bCs/>
          <w:sz w:val="24"/>
          <w:szCs w:val="24"/>
        </w:rPr>
      </w:pPr>
      <w:r w:rsidRPr="0064322B">
        <w:rPr>
          <w:rFonts w:ascii="Times New Roman" w:hAnsi="Times New Roman"/>
          <w:b/>
          <w:bCs/>
          <w:sz w:val="24"/>
          <w:szCs w:val="24"/>
        </w:rPr>
        <w:t>3.1. Инвестиции в основной капитал</w:t>
      </w:r>
    </w:p>
    <w:p w:rsidR="5961EC82" w:rsidRPr="009C12A8" w:rsidRDefault="25F76B5B" w:rsidP="00055A4C">
      <w:pPr>
        <w:spacing w:after="0"/>
        <w:ind w:firstLine="567"/>
        <w:jc w:val="both"/>
        <w:rPr>
          <w:rFonts w:ascii="Times New Roman" w:eastAsia="Times New Roman" w:hAnsi="Times New Roman"/>
          <w:color w:val="000000" w:themeColor="text1"/>
          <w:sz w:val="24"/>
          <w:szCs w:val="24"/>
        </w:rPr>
      </w:pPr>
      <w:r w:rsidRPr="009C12A8">
        <w:rPr>
          <w:rFonts w:ascii="Times New Roman" w:eastAsia="Times New Roman" w:hAnsi="Times New Roman"/>
          <w:color w:val="000000" w:themeColor="text1"/>
          <w:sz w:val="24"/>
          <w:szCs w:val="24"/>
        </w:rPr>
        <w:t>В МО «Чемальский район» объем инвестиций в основной капитал на 01.07.2019 г. составил:</w:t>
      </w:r>
    </w:p>
    <w:p w:rsidR="5961EC82" w:rsidRPr="009C12A8" w:rsidRDefault="25F76B5B" w:rsidP="00055A4C">
      <w:pPr>
        <w:spacing w:after="0"/>
        <w:ind w:firstLine="567"/>
        <w:rPr>
          <w:rFonts w:ascii="Times New Roman" w:eastAsia="Times New Roman" w:hAnsi="Times New Roman"/>
          <w:color w:val="000000" w:themeColor="text1"/>
          <w:sz w:val="24"/>
          <w:szCs w:val="24"/>
        </w:rPr>
      </w:pPr>
      <w:r w:rsidRPr="009C12A8">
        <w:rPr>
          <w:rFonts w:ascii="Times New Roman" w:eastAsia="Times New Roman" w:hAnsi="Times New Roman"/>
          <w:color w:val="000000" w:themeColor="text1"/>
          <w:sz w:val="24"/>
          <w:szCs w:val="24"/>
        </w:rPr>
        <w:t>по полному кругу (рассчитанный по методологии Росстата: с учетом коэффициента досчета на субъекты малого предпринимательства по Республике Алтай - 1,69) - 68,38 млн. руб.;</w:t>
      </w:r>
    </w:p>
    <w:p w:rsidR="5961EC82" w:rsidRPr="009C12A8" w:rsidRDefault="25F76B5B" w:rsidP="00055A4C">
      <w:pPr>
        <w:spacing w:after="0"/>
        <w:ind w:firstLine="567"/>
        <w:rPr>
          <w:rFonts w:ascii="Times New Roman" w:eastAsia="Times New Roman" w:hAnsi="Times New Roman"/>
          <w:color w:val="000000" w:themeColor="text1"/>
          <w:sz w:val="24"/>
          <w:szCs w:val="24"/>
        </w:rPr>
      </w:pPr>
      <w:r w:rsidRPr="009C12A8">
        <w:rPr>
          <w:rFonts w:ascii="Times New Roman" w:eastAsia="Times New Roman" w:hAnsi="Times New Roman"/>
          <w:color w:val="000000" w:themeColor="text1"/>
          <w:sz w:val="24"/>
          <w:szCs w:val="24"/>
        </w:rPr>
        <w:t>по организациям, не относящимся к субъектам малого предпринимательства (крупные и средние организации) - 40,46 млн. руб. (ИФО 133,5 % к 01.07.2018 г. в сопоставимых ценах). Из них инвестиции в основной капитал:</w:t>
      </w:r>
    </w:p>
    <w:p w:rsidR="5961EC82" w:rsidRPr="009C12A8" w:rsidRDefault="1AB1A024"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за счет бюджетных средств - 22,92 млн. руб. (темп роста 258,3 % к 01.07.2018 г. в текущих ценах),</w:t>
      </w:r>
    </w:p>
    <w:p w:rsidR="5961EC82" w:rsidRPr="009C12A8" w:rsidRDefault="1AB1A024"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за счет внебюджетных источников - 17,543 млн. руб. (темп роста 193,6 % к 01.07.2018 г. в текущих ценах), на душу населения - 1,6 тыс. руб. (темп роста 188,9 % к 01.07.2018 г. в текущих ценах).</w:t>
      </w:r>
    </w:p>
    <w:p w:rsidR="5961EC82" w:rsidRPr="009C12A8" w:rsidRDefault="1AB1A024"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инвестиций в основной капитал (за исключением бюджетных) на (-) 156,4 процентных пункта, т.е. уровень достижения 55,31 %.</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связана с тем, что по бюджетным инвестициям было запланировано строительство ДС вс. Чемал на 125 мест, а по факту этого освоения не произошло. Строительство не началось.</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Причинами </w:t>
      </w:r>
      <w:r w:rsidRPr="009C12A8">
        <w:rPr>
          <w:rFonts w:ascii="Times New Roman" w:eastAsia="Times New Roman" w:hAnsi="Times New Roman"/>
          <w:iCs/>
          <w:sz w:val="24"/>
          <w:szCs w:val="24"/>
        </w:rPr>
        <w:t xml:space="preserve">увеличения </w:t>
      </w:r>
      <w:r w:rsidRPr="009C12A8">
        <w:rPr>
          <w:rFonts w:ascii="Times New Roman" w:eastAsia="Times New Roman" w:hAnsi="Times New Roman"/>
          <w:sz w:val="24"/>
          <w:szCs w:val="24"/>
        </w:rPr>
        <w:t>бюджетных инвестиций являются (на 01.07.2019 г. – 22,92 млн. руб., на 01.07.2018 г. – 8,87 млн. руб., ИФО - 258,3)</w:t>
      </w:r>
      <w:r w:rsidRPr="009C12A8">
        <w:rPr>
          <w:rFonts w:ascii="Times New Roman" w:eastAsia="Times New Roman" w:hAnsi="Times New Roman"/>
          <w:color w:val="FF0000"/>
          <w:sz w:val="24"/>
          <w:szCs w:val="24"/>
        </w:rPr>
        <w:t>:</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образование:</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ПСД детского сада вс. Чемал на 125 мест (за первое </w:t>
      </w:r>
      <w:r w:rsidR="00205189" w:rsidRPr="009C12A8">
        <w:rPr>
          <w:rFonts w:ascii="Times New Roman" w:eastAsia="Times New Roman" w:hAnsi="Times New Roman"/>
          <w:sz w:val="24"/>
          <w:szCs w:val="24"/>
        </w:rPr>
        <w:t>полугодие</w:t>
      </w:r>
      <w:r w:rsidRPr="009C12A8">
        <w:rPr>
          <w:rFonts w:ascii="Times New Roman" w:eastAsia="Times New Roman" w:hAnsi="Times New Roman"/>
          <w:sz w:val="24"/>
          <w:szCs w:val="24"/>
        </w:rPr>
        <w:t xml:space="preserve">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- 3,56 млн. руб., за аналогичный период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- 2,6 млн. руб., ИФО - 120,24%). </w:t>
      </w:r>
    </w:p>
    <w:p w:rsidR="5961EC82"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 деятельность в области культуры, спорта, организации досуга и развлечений: МБУ Центр культуры и спорта Чемальского района приобрели аппаратуру на улучшение материально-технической базы домов культуры, в населенных пунктах с числом жителей до 50 тыс. </w:t>
      </w:r>
      <w:r w:rsidR="00464381" w:rsidRPr="009C12A8">
        <w:rPr>
          <w:rFonts w:ascii="Times New Roman" w:eastAsia="Times New Roman" w:hAnsi="Times New Roman"/>
          <w:sz w:val="24"/>
          <w:szCs w:val="24"/>
        </w:rPr>
        <w:t>чел.</w:t>
      </w:r>
      <w:r w:rsidRPr="009C12A8">
        <w:rPr>
          <w:rFonts w:ascii="Times New Roman" w:eastAsia="Times New Roman" w:hAnsi="Times New Roman"/>
          <w:sz w:val="24"/>
          <w:szCs w:val="24"/>
        </w:rPr>
        <w:t xml:space="preserve">, за первое </w:t>
      </w:r>
      <w:r w:rsidR="00205189" w:rsidRPr="009C12A8">
        <w:rPr>
          <w:rFonts w:ascii="Times New Roman" w:eastAsia="Times New Roman" w:hAnsi="Times New Roman"/>
          <w:sz w:val="24"/>
          <w:szCs w:val="24"/>
        </w:rPr>
        <w:t xml:space="preserve">полугодие </w:t>
      </w:r>
      <w:r w:rsidRPr="009C12A8">
        <w:rPr>
          <w:rFonts w:ascii="Times New Roman" w:eastAsia="Times New Roman" w:hAnsi="Times New Roman"/>
          <w:sz w:val="24"/>
          <w:szCs w:val="24"/>
        </w:rPr>
        <w:t xml:space="preserve">2019 </w:t>
      </w:r>
      <w:r w:rsidR="007649A8" w:rsidRPr="009C12A8">
        <w:rPr>
          <w:rFonts w:ascii="Times New Roman" w:eastAsia="Times New Roman" w:hAnsi="Times New Roman"/>
          <w:sz w:val="24"/>
          <w:szCs w:val="24"/>
        </w:rPr>
        <w:t>г</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-1,2 млн</w:t>
      </w:r>
      <w:r w:rsidR="00205189"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руб.</w:t>
      </w:r>
    </w:p>
    <w:p w:rsidR="5961EC82" w:rsidRPr="009C12A8" w:rsidRDefault="5C066F03" w:rsidP="00464381">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w:t>
      </w:r>
      <w:r w:rsidR="00B1240C"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Транспортировка и хранение: РА было освоено за первое </w:t>
      </w:r>
      <w:r w:rsidR="00205189" w:rsidRPr="009C12A8">
        <w:rPr>
          <w:rFonts w:ascii="Times New Roman" w:eastAsia="Times New Roman" w:hAnsi="Times New Roman"/>
          <w:sz w:val="24"/>
          <w:szCs w:val="24"/>
        </w:rPr>
        <w:t xml:space="preserve">полугодие </w:t>
      </w:r>
      <w:r w:rsidRPr="009C12A8">
        <w:rPr>
          <w:rFonts w:ascii="Times New Roman" w:eastAsia="Times New Roman" w:hAnsi="Times New Roman"/>
          <w:sz w:val="24"/>
          <w:szCs w:val="24"/>
        </w:rPr>
        <w:t>2019</w:t>
      </w:r>
      <w:r w:rsidR="00A07FCF"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г. -14620 тыс. руб., за аналогичный период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0 тыс. руб.</w:t>
      </w:r>
    </w:p>
    <w:p w:rsidR="5961EC82" w:rsidRPr="009C12A8" w:rsidRDefault="01873726"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lastRenderedPageBreak/>
        <w:t xml:space="preserve">Причинами </w:t>
      </w:r>
      <w:r w:rsidRPr="009C12A8">
        <w:rPr>
          <w:rFonts w:ascii="Times New Roman" w:eastAsia="Times New Roman" w:hAnsi="Times New Roman"/>
          <w:iCs/>
          <w:sz w:val="24"/>
          <w:szCs w:val="24"/>
        </w:rPr>
        <w:t xml:space="preserve">увеличения </w:t>
      </w:r>
      <w:r w:rsidRPr="009C12A8">
        <w:rPr>
          <w:rFonts w:ascii="Times New Roman" w:eastAsia="Times New Roman" w:hAnsi="Times New Roman"/>
          <w:sz w:val="24"/>
          <w:szCs w:val="24"/>
        </w:rPr>
        <w:t>внебюджетных инвестиций являются (на 01.07.2019 г. – 17,5 млн. руб., на 01.07.2018 г. – 9,1 млн. руб., темп</w:t>
      </w:r>
      <w:r w:rsidR="00464381" w:rsidRPr="009C12A8">
        <w:rPr>
          <w:rFonts w:ascii="Times New Roman" w:eastAsia="Times New Roman" w:hAnsi="Times New Roman"/>
          <w:sz w:val="24"/>
          <w:szCs w:val="24"/>
        </w:rPr>
        <w:t xml:space="preserve"> роста - 193,6%):</w:t>
      </w:r>
    </w:p>
    <w:p w:rsidR="5961EC82" w:rsidRPr="009C12A8" w:rsidRDefault="01873726"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Торговля оптовая и розничная; ремонт автотранспортных средств и мотоциклов:</w:t>
      </w:r>
    </w:p>
    <w:p w:rsidR="5961EC82"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 0,8 млн. руб., на 01.07.2018 г. – 1,2 млн. руб., ИФО 1951,5 %) – в том числе в связи с приобретением оборудования торговыми сетями.</w:t>
      </w:r>
    </w:p>
    <w:p w:rsidR="5961EC82"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Обеспечение электрической энергией, газом и паром; кондиционирование воздухом: Технологические присоединения и строительство линии электропередач Сибири за первое </w:t>
      </w:r>
      <w:r w:rsidR="00205189" w:rsidRPr="009C12A8">
        <w:rPr>
          <w:rFonts w:ascii="Times New Roman" w:eastAsia="Times New Roman" w:hAnsi="Times New Roman"/>
          <w:sz w:val="24"/>
          <w:szCs w:val="24"/>
        </w:rPr>
        <w:t>полугодие</w:t>
      </w:r>
      <w:r w:rsidRPr="009C12A8">
        <w:rPr>
          <w:rFonts w:ascii="Times New Roman" w:eastAsia="Times New Roman" w:hAnsi="Times New Roman"/>
          <w:sz w:val="24"/>
          <w:szCs w:val="24"/>
        </w:rPr>
        <w:t>2019 г. на 14,9 млн. руб.</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реализовываются следующие крупные инвестиционные проекты</w:t>
      </w:r>
      <w:r w:rsidRPr="009C12A8">
        <w:rPr>
          <w:rFonts w:ascii="Times New Roman" w:eastAsia="Times New Roman" w:hAnsi="Times New Roman"/>
          <w:iCs/>
          <w:sz w:val="24"/>
          <w:szCs w:val="24"/>
        </w:rPr>
        <w:t>:</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Бюджетные:</w:t>
      </w:r>
    </w:p>
    <w:p w:rsidR="5961EC82"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Строительство наружных сетей водоснабжения микрорайон «Аэродром» в с. Чемал (ГП АПК - 7, 8 млн. руб.), Строительство ДС в с. Чемал на 125 мест - 88,7 млн. руб.</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Частные:</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Технологические присоединение и строительство линии электропередач МРСК - общая сумма по итогам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составит более 90,0 млн. руб., </w:t>
      </w:r>
    </w:p>
    <w:p w:rsidR="5961EC82"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стро</w:t>
      </w:r>
      <w:r w:rsidR="00464381" w:rsidRPr="009C12A8">
        <w:rPr>
          <w:rFonts w:ascii="Times New Roman" w:eastAsia="Times New Roman" w:hAnsi="Times New Roman"/>
          <w:sz w:val="24"/>
          <w:szCs w:val="24"/>
        </w:rPr>
        <w:t>ительство Чемальской СЭС (ООО</w:t>
      </w:r>
      <w:r w:rsidRPr="009C12A8">
        <w:rPr>
          <w:rFonts w:ascii="Times New Roman" w:eastAsia="Times New Roman" w:hAnsi="Times New Roman"/>
          <w:sz w:val="24"/>
          <w:szCs w:val="24"/>
        </w:rPr>
        <w:t xml:space="preserve">) инвестиции по итогам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составят более 1000,0 млн. руб.</w:t>
      </w:r>
    </w:p>
    <w:p w:rsidR="5961EC82" w:rsidRPr="009C12A8" w:rsidRDefault="5961EC82" w:rsidP="00B1240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Реализуются следующие инвестиционные проекты, ставшие </w:t>
      </w:r>
      <w:r w:rsidRPr="009C12A8">
        <w:rPr>
          <w:rFonts w:ascii="Times New Roman" w:eastAsia="Times New Roman" w:hAnsi="Times New Roman"/>
          <w:iCs/>
          <w:sz w:val="24"/>
          <w:szCs w:val="24"/>
        </w:rPr>
        <w:t xml:space="preserve">победителями и </w:t>
      </w:r>
      <w:r w:rsidRPr="009C12A8">
        <w:rPr>
          <w:rFonts w:ascii="Times New Roman" w:eastAsia="Times New Roman" w:hAnsi="Times New Roman"/>
          <w:sz w:val="24"/>
          <w:szCs w:val="24"/>
        </w:rPr>
        <w:t xml:space="preserve">дипломантами в Ярмарке инвестиционных проектов Республики Алтай в 2016-2018 гг.: Строительство убойного пункта ИП Глава КФХ </w:t>
      </w:r>
      <w:r w:rsidR="00464381" w:rsidRPr="009C12A8">
        <w:rPr>
          <w:rFonts w:ascii="Times New Roman" w:eastAsia="Times New Roman" w:hAnsi="Times New Roman"/>
          <w:sz w:val="24"/>
          <w:szCs w:val="24"/>
        </w:rPr>
        <w:t xml:space="preserve">-2016 </w:t>
      </w:r>
      <w:r w:rsidR="007649A8" w:rsidRPr="009C12A8">
        <w:rPr>
          <w:rFonts w:ascii="Times New Roman" w:eastAsia="Times New Roman" w:hAnsi="Times New Roman"/>
          <w:sz w:val="24"/>
          <w:szCs w:val="24"/>
        </w:rPr>
        <w:t>г.</w:t>
      </w:r>
    </w:p>
    <w:p w:rsidR="5961EC82" w:rsidRPr="009C12A8" w:rsidRDefault="1BBCC3CE" w:rsidP="00B1240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Инвестиционном портале Республики Алтай для поиска инвесторов размещены следующие инвестиционные проекты и площадки:</w:t>
      </w:r>
    </w:p>
    <w:p w:rsidR="5961EC82" w:rsidRPr="009C12A8" w:rsidRDefault="00A30554" w:rsidP="00055A4C">
      <w:pPr>
        <w:spacing w:after="0"/>
        <w:ind w:firstLine="567"/>
        <w:jc w:val="both"/>
        <w:rPr>
          <w:rFonts w:ascii="Times New Roman" w:eastAsia="Times New Roman" w:hAnsi="Times New Roman"/>
          <w:sz w:val="24"/>
          <w:szCs w:val="24"/>
        </w:rPr>
      </w:pPr>
      <w:hyperlink r:id="rId8">
        <w:r w:rsidR="1BBCC3CE" w:rsidRPr="009C12A8">
          <w:rPr>
            <w:rStyle w:val="a5"/>
            <w:rFonts w:ascii="Times New Roman" w:eastAsia="Times New Roman" w:hAnsi="Times New Roman"/>
            <w:color w:val="000000" w:themeColor="text1"/>
            <w:sz w:val="24"/>
            <w:szCs w:val="24"/>
            <w:u w:val="none"/>
          </w:rPr>
          <w:t>Развлекательный комплекс</w:t>
        </w:r>
        <w:r w:rsidR="00464381" w:rsidRPr="009C12A8">
          <w:rPr>
            <w:rStyle w:val="a5"/>
            <w:rFonts w:ascii="Times New Roman" w:eastAsia="Times New Roman" w:hAnsi="Times New Roman"/>
            <w:color w:val="000000" w:themeColor="text1"/>
            <w:sz w:val="24"/>
            <w:szCs w:val="24"/>
            <w:u w:val="none"/>
          </w:rPr>
          <w:t xml:space="preserve"> «Рублевка»</w:t>
        </w:r>
        <w:r w:rsidR="1BBCC3CE" w:rsidRPr="009C12A8">
          <w:rPr>
            <w:rStyle w:val="a5"/>
            <w:rFonts w:ascii="Times New Roman" w:eastAsia="Times New Roman" w:hAnsi="Times New Roman"/>
            <w:color w:val="000000" w:themeColor="text1"/>
            <w:sz w:val="24"/>
            <w:szCs w:val="24"/>
            <w:u w:val="none"/>
          </w:rPr>
          <w:t>, с.</w:t>
        </w:r>
        <w:r w:rsidR="00464381" w:rsidRPr="009C12A8">
          <w:rPr>
            <w:rStyle w:val="a5"/>
            <w:rFonts w:ascii="Times New Roman" w:eastAsia="Times New Roman" w:hAnsi="Times New Roman"/>
            <w:color w:val="000000" w:themeColor="text1"/>
            <w:sz w:val="24"/>
            <w:szCs w:val="24"/>
            <w:u w:val="none"/>
          </w:rPr>
          <w:t xml:space="preserve"> </w:t>
        </w:r>
        <w:r w:rsidR="1BBCC3CE" w:rsidRPr="009C12A8">
          <w:rPr>
            <w:rStyle w:val="a5"/>
            <w:rFonts w:ascii="Times New Roman" w:eastAsia="Times New Roman" w:hAnsi="Times New Roman"/>
            <w:color w:val="000000" w:themeColor="text1"/>
            <w:sz w:val="24"/>
            <w:szCs w:val="24"/>
            <w:u w:val="none"/>
          </w:rPr>
          <w:t>Анос Чемальского района;</w:t>
        </w:r>
      </w:hyperlink>
      <w:r w:rsidR="1BBCC3CE" w:rsidRPr="009C12A8">
        <w:rPr>
          <w:rFonts w:ascii="Times New Roman" w:eastAsia="Times New Roman" w:hAnsi="Times New Roman"/>
          <w:color w:val="000000" w:themeColor="text1"/>
          <w:sz w:val="24"/>
          <w:szCs w:val="24"/>
        </w:rPr>
        <w:t> </w:t>
      </w:r>
    </w:p>
    <w:p w:rsidR="5961EC82" w:rsidRPr="009C12A8" w:rsidRDefault="1BBCC3CE" w:rsidP="00055A4C">
      <w:pPr>
        <w:spacing w:after="0"/>
        <w:ind w:firstLine="567"/>
        <w:rPr>
          <w:rFonts w:ascii="Times New Roman" w:eastAsia="Times New Roman" w:hAnsi="Times New Roman"/>
          <w:sz w:val="24"/>
          <w:szCs w:val="24"/>
        </w:rPr>
      </w:pPr>
      <w:r w:rsidRPr="009C12A8">
        <w:rPr>
          <w:rFonts w:ascii="Times New Roman" w:eastAsia="Times New Roman" w:hAnsi="Times New Roman"/>
          <w:sz w:val="24"/>
          <w:szCs w:val="24"/>
        </w:rPr>
        <w:t>Курортно-рекреационный комплекс «Седьмое небо», ур. Ингурек</w:t>
      </w:r>
      <w:r w:rsidR="00464381" w:rsidRPr="009C12A8">
        <w:rPr>
          <w:rFonts w:ascii="Times New Roman" w:eastAsia="Times New Roman" w:hAnsi="Times New Roman"/>
          <w:sz w:val="24"/>
          <w:szCs w:val="24"/>
        </w:rPr>
        <w:t xml:space="preserve"> </w:t>
      </w:r>
      <w:hyperlink r:id="rId9">
        <w:r w:rsidRPr="009C12A8">
          <w:rPr>
            <w:rStyle w:val="a5"/>
            <w:rFonts w:ascii="Times New Roman" w:eastAsia="Times New Roman" w:hAnsi="Times New Roman"/>
            <w:color w:val="000000" w:themeColor="text1"/>
            <w:sz w:val="24"/>
            <w:szCs w:val="24"/>
            <w:u w:val="none"/>
          </w:rPr>
          <w:t>Чемальского района</w:t>
        </w:r>
      </w:hyperlink>
      <w:r w:rsidRPr="009C12A8">
        <w:rPr>
          <w:rFonts w:ascii="Times New Roman" w:eastAsia="Times New Roman" w:hAnsi="Times New Roman"/>
          <w:color w:val="000000" w:themeColor="text1"/>
          <w:sz w:val="24"/>
          <w:szCs w:val="24"/>
        </w:rPr>
        <w:t>;</w:t>
      </w:r>
      <w:r w:rsidRPr="009C12A8">
        <w:rPr>
          <w:rFonts w:ascii="Times New Roman" w:eastAsia="Times New Roman" w:hAnsi="Times New Roman"/>
          <w:sz w:val="24"/>
          <w:szCs w:val="24"/>
        </w:rPr>
        <w:t>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Организация производства товарного бетона марок М-100 – М-300 для строительного рынка Чемальского района</w:t>
      </w:r>
      <w:r w:rsidRPr="009C12A8">
        <w:rPr>
          <w:rFonts w:ascii="Times New Roman" w:eastAsia="Times New Roman" w:hAnsi="Times New Roman"/>
          <w:color w:val="000000" w:themeColor="text1"/>
          <w:sz w:val="24"/>
          <w:szCs w:val="24"/>
        </w:rPr>
        <w:t>;</w:t>
      </w:r>
      <w:r w:rsidRPr="009C12A8">
        <w:rPr>
          <w:rFonts w:ascii="Times New Roman" w:eastAsia="Times New Roman" w:hAnsi="Times New Roman"/>
          <w:sz w:val="24"/>
          <w:szCs w:val="24"/>
        </w:rPr>
        <w:t>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в Чемальском районе, урочище Ниж. Кушкула, расположенного в границах участка;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в Чемальском районе, урочище Ниж. Кушкула, расположенного в границах участка;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к югу от поселка Толгоек Чемальского района;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к югу от поселка Толгоек Чемальского района, урочище Кудюр-Сош</w:t>
      </w:r>
      <w:hyperlink r:id="rId10">
        <w:r w:rsidRPr="009C12A8">
          <w:rPr>
            <w:rStyle w:val="a5"/>
            <w:rFonts w:ascii="Times New Roman" w:eastAsia="Times New Roman" w:hAnsi="Times New Roman"/>
            <w:color w:val="000000" w:themeColor="text1"/>
            <w:sz w:val="24"/>
            <w:szCs w:val="24"/>
            <w:u w:val="none"/>
          </w:rPr>
          <w:t>;</w:t>
        </w:r>
      </w:hyperlink>
      <w:r w:rsidRPr="009C12A8">
        <w:rPr>
          <w:rFonts w:ascii="Times New Roman" w:eastAsia="Times New Roman" w:hAnsi="Times New Roman"/>
          <w:color w:val="000000" w:themeColor="text1"/>
          <w:sz w:val="24"/>
          <w:szCs w:val="24"/>
        </w:rPr>
        <w:t>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в Чемальском районе, урочище Эльбех-Пель, расположенного в границах участка;</w:t>
      </w:r>
    </w:p>
    <w:p w:rsidR="5961EC82" w:rsidRPr="009C12A8" w:rsidRDefault="1BBCC3CE" w:rsidP="00464381">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Сельскохозяйственное использование либо рекреация, Земельный участок находящийся в Чемальском районе, в районе лога Айры-Дьарык расположенного в границах участка.</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lastRenderedPageBreak/>
        <w:t>В 2019 г. также планируются к реализации крупные инвестиционные проекты:</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Бюджетные:</w:t>
      </w:r>
    </w:p>
    <w:p w:rsidR="5961EC82" w:rsidRPr="009C12A8" w:rsidRDefault="5C066F03" w:rsidP="00055A4C">
      <w:pPr>
        <w:pStyle w:val="a4"/>
        <w:numPr>
          <w:ilvl w:val="0"/>
          <w:numId w:val="4"/>
        </w:numPr>
        <w:spacing w:after="0"/>
        <w:ind w:left="0" w:firstLine="567"/>
        <w:jc w:val="both"/>
        <w:rPr>
          <w:rFonts w:ascii="Times New Roman" w:hAnsi="Times New Roman"/>
          <w:sz w:val="24"/>
          <w:szCs w:val="24"/>
        </w:rPr>
      </w:pPr>
      <w:r w:rsidRPr="009C12A8">
        <w:rPr>
          <w:rFonts w:ascii="Times New Roman" w:eastAsia="Times New Roman" w:hAnsi="Times New Roman"/>
          <w:sz w:val="24"/>
          <w:szCs w:val="24"/>
        </w:rPr>
        <w:t>Строительство ДС вс. Чемал на 125 мест (88,7 млн. руб.);</w:t>
      </w:r>
    </w:p>
    <w:p w:rsidR="5961EC82" w:rsidRPr="009C12A8" w:rsidRDefault="5C066F03" w:rsidP="00055A4C">
      <w:pPr>
        <w:pStyle w:val="a4"/>
        <w:numPr>
          <w:ilvl w:val="0"/>
          <w:numId w:val="4"/>
        </w:numPr>
        <w:spacing w:after="0"/>
        <w:ind w:left="0" w:firstLine="567"/>
        <w:jc w:val="both"/>
        <w:rPr>
          <w:rFonts w:ascii="Times New Roman" w:hAnsi="Times New Roman"/>
          <w:sz w:val="24"/>
          <w:szCs w:val="24"/>
        </w:rPr>
      </w:pPr>
      <w:r w:rsidRPr="009C12A8">
        <w:rPr>
          <w:rFonts w:ascii="Times New Roman" w:eastAsia="Times New Roman" w:hAnsi="Times New Roman"/>
          <w:sz w:val="24"/>
          <w:szCs w:val="24"/>
        </w:rPr>
        <w:t>Строительство наружных сетей водоснабжения микрорайон «Аэродром» вс. Чемал (ГП АПК) (7,8 млн. руб.).</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Частные:</w:t>
      </w:r>
    </w:p>
    <w:p w:rsidR="5961EC82" w:rsidRPr="009C12A8" w:rsidRDefault="2618B2B8" w:rsidP="00055A4C">
      <w:pPr>
        <w:pStyle w:val="a4"/>
        <w:numPr>
          <w:ilvl w:val="0"/>
          <w:numId w:val="3"/>
        </w:numPr>
        <w:spacing w:after="0"/>
        <w:ind w:left="0" w:firstLine="567"/>
        <w:jc w:val="both"/>
        <w:rPr>
          <w:rFonts w:ascii="Times New Roman" w:hAnsi="Times New Roman"/>
          <w:sz w:val="24"/>
          <w:szCs w:val="24"/>
        </w:rPr>
      </w:pPr>
      <w:r w:rsidRPr="009C12A8">
        <w:rPr>
          <w:rFonts w:ascii="Times New Roman" w:eastAsia="Times New Roman" w:hAnsi="Times New Roman"/>
          <w:sz w:val="24"/>
          <w:szCs w:val="24"/>
        </w:rPr>
        <w:t>Строительст</w:t>
      </w:r>
      <w:r w:rsidR="0064322B">
        <w:rPr>
          <w:rFonts w:ascii="Times New Roman" w:eastAsia="Times New Roman" w:hAnsi="Times New Roman"/>
          <w:sz w:val="24"/>
          <w:szCs w:val="24"/>
        </w:rPr>
        <w:t>во Чемальской СЭС (ООО</w:t>
      </w:r>
      <w:r w:rsidRPr="009C12A8">
        <w:rPr>
          <w:rFonts w:ascii="Times New Roman" w:eastAsia="Times New Roman" w:hAnsi="Times New Roman"/>
          <w:sz w:val="24"/>
          <w:szCs w:val="24"/>
        </w:rPr>
        <w:t>) 10 мвт - 1021,5 млн. руб.;</w:t>
      </w:r>
    </w:p>
    <w:p w:rsidR="5961EC82" w:rsidRPr="009C12A8" w:rsidRDefault="5C066F03" w:rsidP="00055A4C">
      <w:pPr>
        <w:pStyle w:val="a4"/>
        <w:numPr>
          <w:ilvl w:val="0"/>
          <w:numId w:val="3"/>
        </w:numPr>
        <w:spacing w:after="0"/>
        <w:ind w:left="0" w:firstLine="567"/>
        <w:jc w:val="both"/>
        <w:rPr>
          <w:rFonts w:ascii="Times New Roman" w:hAnsi="Times New Roman"/>
          <w:sz w:val="24"/>
          <w:szCs w:val="24"/>
        </w:rPr>
      </w:pPr>
      <w:r w:rsidRPr="009C12A8">
        <w:rPr>
          <w:rFonts w:ascii="Times New Roman" w:eastAsia="Times New Roman" w:hAnsi="Times New Roman"/>
          <w:sz w:val="24"/>
          <w:szCs w:val="24"/>
        </w:rPr>
        <w:t>Технологические присоединения и строительство линии электропередач (МРСК Сибири) - 90,6 млн. руб.</w:t>
      </w:r>
    </w:p>
    <w:p w:rsidR="004D2DF8" w:rsidRPr="0064322B" w:rsidRDefault="004D2DF8" w:rsidP="0064322B">
      <w:pPr>
        <w:spacing w:after="0"/>
        <w:ind w:firstLine="567"/>
        <w:jc w:val="center"/>
        <w:rPr>
          <w:rFonts w:ascii="Times New Roman" w:hAnsi="Times New Roman"/>
          <w:b/>
          <w:bCs/>
          <w:sz w:val="24"/>
          <w:szCs w:val="24"/>
        </w:rPr>
      </w:pPr>
      <w:r w:rsidRPr="0064322B">
        <w:rPr>
          <w:rFonts w:ascii="Times New Roman" w:hAnsi="Times New Roman"/>
          <w:b/>
          <w:bCs/>
          <w:sz w:val="24"/>
          <w:szCs w:val="24"/>
        </w:rPr>
        <w:t xml:space="preserve">Раздел </w:t>
      </w:r>
      <w:r w:rsidRPr="0064322B">
        <w:rPr>
          <w:rFonts w:ascii="Times New Roman" w:hAnsi="Times New Roman"/>
          <w:b/>
          <w:bCs/>
          <w:sz w:val="24"/>
          <w:szCs w:val="24"/>
          <w:lang w:val="en-US"/>
        </w:rPr>
        <w:t>IV</w:t>
      </w:r>
      <w:r w:rsidRPr="0064322B">
        <w:rPr>
          <w:rFonts w:ascii="Times New Roman" w:hAnsi="Times New Roman"/>
          <w:b/>
          <w:bCs/>
          <w:sz w:val="24"/>
          <w:szCs w:val="24"/>
        </w:rPr>
        <w:t>. Уровень и качество жизни</w:t>
      </w:r>
    </w:p>
    <w:p w:rsidR="004D2DF8" w:rsidRPr="0064322B" w:rsidRDefault="5961EC82" w:rsidP="00055A4C">
      <w:pPr>
        <w:spacing w:after="0"/>
        <w:ind w:firstLine="567"/>
        <w:jc w:val="both"/>
        <w:rPr>
          <w:rFonts w:ascii="Times New Roman" w:hAnsi="Times New Roman"/>
          <w:b/>
          <w:sz w:val="24"/>
          <w:szCs w:val="24"/>
        </w:rPr>
      </w:pPr>
      <w:r w:rsidRPr="0064322B">
        <w:rPr>
          <w:rFonts w:ascii="Times New Roman" w:hAnsi="Times New Roman"/>
          <w:b/>
          <w:bCs/>
          <w:sz w:val="24"/>
          <w:szCs w:val="24"/>
        </w:rPr>
        <w:t>4.1. Безработица и неформальная занятость</w:t>
      </w:r>
    </w:p>
    <w:p w:rsidR="004D2DF8" w:rsidRPr="009C12A8" w:rsidRDefault="5961EC82" w:rsidP="00055A4C">
      <w:pPr>
        <w:widowControl w:val="0"/>
        <w:autoSpaceDE w:val="0"/>
        <w:autoSpaceDN w:val="0"/>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Уровень регистрируем</w:t>
      </w:r>
      <w:r w:rsidR="0064322B">
        <w:rPr>
          <w:rFonts w:ascii="Times New Roman" w:eastAsia="Times New Roman" w:hAnsi="Times New Roman"/>
          <w:sz w:val="24"/>
          <w:szCs w:val="24"/>
        </w:rPr>
        <w:t>ой безработицы по данным КУ РА</w:t>
      </w:r>
      <w:r w:rsidRPr="009C12A8">
        <w:rPr>
          <w:rFonts w:ascii="Times New Roman" w:eastAsia="Times New Roman" w:hAnsi="Times New Roman"/>
          <w:sz w:val="24"/>
          <w:szCs w:val="24"/>
        </w:rPr>
        <w:t>, на 01.07.2019</w:t>
      </w:r>
      <w:r w:rsidR="00A07FCF"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г. </w:t>
      </w:r>
      <w:r w:rsidR="009C12A8">
        <w:rPr>
          <w:rFonts w:ascii="Times New Roman" w:eastAsia="Times New Roman" w:hAnsi="Times New Roman"/>
          <w:iCs/>
          <w:sz w:val="24"/>
          <w:szCs w:val="24"/>
        </w:rPr>
        <w:t>увеличился на 11,7%</w:t>
      </w:r>
      <w:r w:rsidRPr="009C12A8">
        <w:rPr>
          <w:rFonts w:ascii="Times New Roman" w:eastAsia="Times New Roman" w:hAnsi="Times New Roman"/>
          <w:sz w:val="24"/>
          <w:szCs w:val="24"/>
        </w:rPr>
        <w:t xml:space="preserve"> и составил 2,96 % (на 01.07.2018</w:t>
      </w:r>
      <w:r w:rsidR="00A07FCF"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г. - 2,65 %). </w:t>
      </w:r>
    </w:p>
    <w:p w:rsidR="004D2DF8" w:rsidRPr="009C12A8" w:rsidRDefault="5961EC82" w:rsidP="00055A4C">
      <w:pPr>
        <w:widowControl w:val="0"/>
        <w:autoSpaceDE w:val="0"/>
        <w:autoSpaceDN w:val="0"/>
        <w:spacing w:after="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Увеличение</w:t>
      </w:r>
      <w:r w:rsidRPr="009C12A8">
        <w:rPr>
          <w:rFonts w:ascii="Times New Roman" w:eastAsia="Times New Roman" w:hAnsi="Times New Roman"/>
          <w:sz w:val="24"/>
          <w:szCs w:val="24"/>
        </w:rPr>
        <w:t xml:space="preserve"> уровня безработицы обусловлено увеличением на 1,2% численности граждан, обратившихся в поисках работы.</w:t>
      </w:r>
    </w:p>
    <w:p w:rsidR="004D2DF8" w:rsidRPr="009C12A8" w:rsidRDefault="1BBCC3CE" w:rsidP="00055A4C">
      <w:pPr>
        <w:widowControl w:val="0"/>
        <w:autoSpaceDE w:val="0"/>
        <w:autoSpaceDN w:val="0"/>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 состоянию на 01.07.2019 г. в КУ РА в целях поиска работы обратилось 247 чел</w:t>
      </w:r>
      <w:r w:rsidR="00464381" w:rsidRPr="009C12A8">
        <w:rPr>
          <w:rFonts w:ascii="Times New Roman" w:eastAsia="Times New Roman" w:hAnsi="Times New Roman"/>
          <w:sz w:val="24"/>
          <w:szCs w:val="24"/>
        </w:rPr>
        <w:t>.</w:t>
      </w:r>
      <w:r w:rsidRPr="009C12A8">
        <w:rPr>
          <w:rFonts w:ascii="Times New Roman" w:eastAsia="Times New Roman" w:hAnsi="Times New Roman"/>
          <w:sz w:val="24"/>
          <w:szCs w:val="24"/>
        </w:rPr>
        <w:t xml:space="preserve"> (в 2018 г. обратилось 244 чел.), из них 103 чел. трудоустроено.</w:t>
      </w:r>
    </w:p>
    <w:p w:rsidR="004D2DF8" w:rsidRPr="009C12A8" w:rsidRDefault="5961EC82" w:rsidP="00055A4C">
      <w:pPr>
        <w:widowControl w:val="0"/>
        <w:autoSpaceDE w:val="0"/>
        <w:autoSpaceDN w:val="0"/>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плановым показателем на 01.07.2019 г. отклонение уровня регистрируемой безработицы составило (+) 114,28 процентных пункта. </w:t>
      </w:r>
    </w:p>
    <w:p w:rsidR="004D2DF8" w:rsidRPr="009C12A8" w:rsidRDefault="5961EC82" w:rsidP="00055A4C">
      <w:pPr>
        <w:widowControl w:val="0"/>
        <w:autoSpaceDE w:val="0"/>
        <w:autoSpaceDN w:val="0"/>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обусловлено увеличением на 1,2% численности граждан, обратившихся в поисках работы.</w:t>
      </w:r>
    </w:p>
    <w:p w:rsidR="004D2DF8" w:rsidRPr="0064322B" w:rsidRDefault="5961EC82" w:rsidP="00055A4C">
      <w:pPr>
        <w:spacing w:after="0"/>
        <w:ind w:firstLine="567"/>
        <w:jc w:val="both"/>
        <w:rPr>
          <w:rFonts w:ascii="Times New Roman" w:hAnsi="Times New Roman"/>
          <w:b/>
          <w:sz w:val="24"/>
          <w:szCs w:val="24"/>
        </w:rPr>
      </w:pPr>
      <w:r w:rsidRPr="0064322B">
        <w:rPr>
          <w:rFonts w:ascii="Times New Roman" w:hAnsi="Times New Roman"/>
          <w:b/>
          <w:bCs/>
          <w:sz w:val="24"/>
          <w:szCs w:val="24"/>
        </w:rPr>
        <w:t>4.2. Жилищное строительство</w:t>
      </w:r>
    </w:p>
    <w:p w:rsidR="004D2DF8" w:rsidRPr="009C12A8" w:rsidRDefault="2618B2B8"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На 01.07.2019 г. введено общей площади жилых помещений 3316 кв. м (43 здания), в том числе индивидуальное жилищное строительство 3316 кв. м (43 здания). Юридическими лицами введено 0 кв. м (0 зданий, 0 квартир). Плановый показатель ввода жилья по МО «Чемальский район» на первое </w:t>
      </w:r>
      <w:r w:rsidR="00205189" w:rsidRPr="009C12A8">
        <w:rPr>
          <w:rFonts w:ascii="Times New Roman" w:eastAsia="Times New Roman" w:hAnsi="Times New Roman"/>
          <w:sz w:val="24"/>
          <w:szCs w:val="24"/>
        </w:rPr>
        <w:t>полугодие</w:t>
      </w:r>
      <w:r w:rsidR="00A07FCF"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xml:space="preserve">2019 г. составляет 8000 кв. м, таким образом, процент выполнения плана, утвержденного Министерством регионального развития РА на 2018 </w:t>
      </w:r>
      <w:r w:rsidR="007649A8"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составляет 41,45 %. </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Также нужно отметить, что по данным сельских поселений Чемальского района на 1 июля 2019 г. введено общей площади жилых помещений 4206,5 кв. м (56 зданий), в том числе индивидуальное жилищное строительство 4206,5 кв. м (56 зданий). Расхождение в показателях связано с тем, что Алтайкрастат получает информацию не от муниципального района, а от управления Росреестра по Республике Алтай.</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аналогичным периодом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наблюдается </w:t>
      </w:r>
      <w:r w:rsidRPr="009C12A8">
        <w:rPr>
          <w:rFonts w:ascii="Times New Roman" w:eastAsia="Times New Roman" w:hAnsi="Times New Roman"/>
          <w:iCs/>
          <w:sz w:val="24"/>
          <w:szCs w:val="24"/>
        </w:rPr>
        <w:t>снижение</w:t>
      </w:r>
      <w:r w:rsidRPr="009C12A8">
        <w:rPr>
          <w:rFonts w:ascii="Times New Roman" w:eastAsia="Times New Roman" w:hAnsi="Times New Roman"/>
          <w:sz w:val="24"/>
          <w:szCs w:val="24"/>
        </w:rPr>
        <w:t xml:space="preserve"> объема ввода жилых помещений, в т.ч.:</w:t>
      </w:r>
    </w:p>
    <w:tbl>
      <w:tblPr>
        <w:tblStyle w:val="a3"/>
        <w:tblW w:w="0" w:type="auto"/>
        <w:tblLayout w:type="fixed"/>
        <w:tblLook w:val="04A0"/>
      </w:tblPr>
      <w:tblGrid>
        <w:gridCol w:w="1951"/>
        <w:gridCol w:w="1659"/>
        <w:gridCol w:w="1805"/>
        <w:gridCol w:w="1805"/>
        <w:gridCol w:w="1805"/>
      </w:tblGrid>
      <w:tr w:rsidR="5961EC82" w:rsidRPr="00055A4C" w:rsidTr="005A7CD3">
        <w:tc>
          <w:tcPr>
            <w:tcW w:w="1951" w:type="dxa"/>
          </w:tcPr>
          <w:p w:rsidR="5961EC82" w:rsidRPr="00055A4C" w:rsidRDefault="5961EC82" w:rsidP="00055A4C">
            <w:pPr>
              <w:spacing w:line="276" w:lineRule="auto"/>
              <w:jc w:val="both"/>
              <w:rPr>
                <w:rFonts w:ascii="Times New Roman" w:eastAsia="Times New Roman" w:hAnsi="Times New Roman"/>
                <w:sz w:val="24"/>
                <w:szCs w:val="24"/>
              </w:rPr>
            </w:pPr>
          </w:p>
        </w:tc>
        <w:tc>
          <w:tcPr>
            <w:tcW w:w="1659" w:type="dxa"/>
          </w:tcPr>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 xml:space="preserve">на </w:t>
            </w:r>
          </w:p>
          <w:p w:rsidR="5961EC82" w:rsidRPr="00055A4C" w:rsidRDefault="5961EC82"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01.07.201</w:t>
            </w:r>
            <w:r w:rsidR="002D2627">
              <w:rPr>
                <w:rFonts w:ascii="Times New Roman" w:eastAsia="Times New Roman" w:hAnsi="Times New Roman"/>
                <w:sz w:val="24"/>
                <w:szCs w:val="24"/>
              </w:rPr>
              <w:t>8</w:t>
            </w:r>
            <w:r w:rsidRPr="00055A4C">
              <w:rPr>
                <w:rFonts w:ascii="Times New Roman" w:eastAsia="Times New Roman" w:hAnsi="Times New Roman"/>
                <w:sz w:val="24"/>
                <w:szCs w:val="24"/>
              </w:rPr>
              <w:t xml:space="preserve"> г.</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 xml:space="preserve">на </w:t>
            </w:r>
          </w:p>
          <w:p w:rsidR="5961EC82" w:rsidRPr="00055A4C" w:rsidRDefault="5961EC82"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01.07.201</w:t>
            </w:r>
            <w:r w:rsidR="002D2627">
              <w:rPr>
                <w:rFonts w:ascii="Times New Roman" w:eastAsia="Times New Roman" w:hAnsi="Times New Roman"/>
                <w:sz w:val="24"/>
                <w:szCs w:val="24"/>
              </w:rPr>
              <w:t>9</w:t>
            </w:r>
            <w:r w:rsidRPr="00055A4C">
              <w:rPr>
                <w:rFonts w:ascii="Times New Roman" w:eastAsia="Times New Roman" w:hAnsi="Times New Roman"/>
                <w:sz w:val="24"/>
                <w:szCs w:val="24"/>
              </w:rPr>
              <w:t xml:space="preserve"> г.</w:t>
            </w:r>
          </w:p>
        </w:tc>
        <w:tc>
          <w:tcPr>
            <w:tcW w:w="1805" w:type="dxa"/>
          </w:tcPr>
          <w:p w:rsidR="5961EC82" w:rsidRPr="00055A4C" w:rsidRDefault="01873726"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 xml:space="preserve">Отклонение, </w:t>
            </w:r>
          </w:p>
          <w:p w:rsidR="5961EC82" w:rsidRPr="00055A4C" w:rsidRDefault="01873726"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кв. м / ед.</w:t>
            </w:r>
          </w:p>
        </w:tc>
        <w:tc>
          <w:tcPr>
            <w:tcW w:w="1805" w:type="dxa"/>
          </w:tcPr>
          <w:p w:rsidR="5961EC82" w:rsidRPr="00055A4C" w:rsidRDefault="01873726"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Темп роста, %</w:t>
            </w:r>
          </w:p>
        </w:tc>
      </w:tr>
      <w:tr w:rsidR="5961EC82" w:rsidRPr="00055A4C" w:rsidTr="005A7CD3">
        <w:tc>
          <w:tcPr>
            <w:tcW w:w="1951" w:type="dxa"/>
          </w:tcPr>
          <w:p w:rsidR="5961EC82" w:rsidRPr="00055A4C" w:rsidRDefault="5961EC82" w:rsidP="00055A4C">
            <w:pPr>
              <w:spacing w:line="276" w:lineRule="auto"/>
              <w:jc w:val="both"/>
              <w:rPr>
                <w:rFonts w:ascii="Times New Roman" w:eastAsia="Times New Roman" w:hAnsi="Times New Roman"/>
                <w:sz w:val="24"/>
                <w:szCs w:val="24"/>
              </w:rPr>
            </w:pPr>
            <w:r w:rsidRPr="00055A4C">
              <w:rPr>
                <w:rFonts w:ascii="Times New Roman" w:eastAsia="Times New Roman" w:hAnsi="Times New Roman"/>
                <w:sz w:val="24"/>
                <w:szCs w:val="24"/>
              </w:rPr>
              <w:t>Введено всего:</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кв. м</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зданий</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квартир</w:t>
            </w:r>
          </w:p>
        </w:tc>
        <w:tc>
          <w:tcPr>
            <w:tcW w:w="1659"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Default="002D2627"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8607</w:t>
            </w:r>
          </w:p>
          <w:p w:rsidR="002D2627" w:rsidRPr="00055A4C" w:rsidRDefault="002D2627"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101</w:t>
            </w:r>
          </w:p>
          <w:p w:rsidR="002D2627" w:rsidRPr="00055A4C" w:rsidRDefault="002D2627"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101</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002D2627" w:rsidRPr="00055A4C" w:rsidRDefault="002D2627"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3316</w:t>
            </w:r>
          </w:p>
          <w:p w:rsidR="002D2627" w:rsidRPr="00055A4C" w:rsidRDefault="002D2627"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43</w:t>
            </w:r>
          </w:p>
          <w:p w:rsidR="5961EC82" w:rsidRPr="00055A4C" w:rsidRDefault="002D2627" w:rsidP="002D2627">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43</w:t>
            </w:r>
          </w:p>
          <w:p w:rsidR="5961EC82" w:rsidRPr="00055A4C" w:rsidRDefault="5961EC82" w:rsidP="00055A4C">
            <w:pPr>
              <w:spacing w:line="276" w:lineRule="auto"/>
              <w:jc w:val="center"/>
              <w:rPr>
                <w:rFonts w:ascii="Times New Roman" w:eastAsia="Times New Roman" w:hAnsi="Times New Roman"/>
                <w:sz w:val="24"/>
                <w:szCs w:val="24"/>
              </w:rPr>
            </w:pP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5291</w:t>
            </w: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58</w:t>
            </w: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58</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00140909" w:rsidP="00055A4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38,5</w:t>
            </w:r>
          </w:p>
          <w:p w:rsidR="5961EC82" w:rsidRPr="00055A4C" w:rsidRDefault="00140909" w:rsidP="00055A4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42,6</w:t>
            </w:r>
          </w:p>
          <w:p w:rsidR="00140909" w:rsidRPr="00055A4C" w:rsidRDefault="00140909" w:rsidP="00140909">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42,6</w:t>
            </w:r>
          </w:p>
          <w:p w:rsidR="5961EC82" w:rsidRPr="00055A4C" w:rsidRDefault="5961EC82" w:rsidP="00055A4C">
            <w:pPr>
              <w:spacing w:line="276" w:lineRule="auto"/>
              <w:jc w:val="center"/>
              <w:rPr>
                <w:rFonts w:ascii="Times New Roman" w:eastAsia="Times New Roman" w:hAnsi="Times New Roman"/>
                <w:sz w:val="24"/>
                <w:szCs w:val="24"/>
              </w:rPr>
            </w:pPr>
          </w:p>
        </w:tc>
      </w:tr>
      <w:tr w:rsidR="5961EC82" w:rsidRPr="00055A4C" w:rsidTr="005A7CD3">
        <w:tc>
          <w:tcPr>
            <w:tcW w:w="1951" w:type="dxa"/>
          </w:tcPr>
          <w:p w:rsidR="005A7CD3" w:rsidRDefault="005A7CD3" w:rsidP="00055A4C">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5961EC82" w:rsidRPr="00055A4C">
              <w:rPr>
                <w:rFonts w:ascii="Times New Roman" w:eastAsia="Times New Roman" w:hAnsi="Times New Roman"/>
                <w:sz w:val="24"/>
                <w:szCs w:val="24"/>
              </w:rPr>
              <w:t>в т.ч.:</w:t>
            </w:r>
          </w:p>
          <w:p w:rsidR="5961EC82" w:rsidRPr="00055A4C" w:rsidRDefault="5961EC82" w:rsidP="00055A4C">
            <w:pPr>
              <w:spacing w:line="276" w:lineRule="auto"/>
              <w:jc w:val="both"/>
              <w:rPr>
                <w:rFonts w:ascii="Times New Roman" w:eastAsia="Times New Roman" w:hAnsi="Times New Roman"/>
                <w:sz w:val="24"/>
                <w:szCs w:val="24"/>
              </w:rPr>
            </w:pPr>
            <w:r w:rsidRPr="00055A4C">
              <w:rPr>
                <w:rFonts w:ascii="Times New Roman" w:eastAsia="Times New Roman" w:hAnsi="Times New Roman"/>
                <w:sz w:val="24"/>
                <w:szCs w:val="24"/>
              </w:rPr>
              <w:lastRenderedPageBreak/>
              <w:t>индивидуальное жилищное строительство:</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кв. м</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зданий</w:t>
            </w:r>
          </w:p>
        </w:tc>
        <w:tc>
          <w:tcPr>
            <w:tcW w:w="1659"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5A7CD3">
            <w:pPr>
              <w:spacing w:line="276" w:lineRule="auto"/>
              <w:rPr>
                <w:rFonts w:ascii="Times New Roman" w:eastAsia="Times New Roman" w:hAnsi="Times New Roman"/>
                <w:sz w:val="24"/>
                <w:szCs w:val="24"/>
              </w:rPr>
            </w:pPr>
          </w:p>
          <w:p w:rsidR="00A6474B" w:rsidRDefault="00A6474B" w:rsidP="00A6474B">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8607</w:t>
            </w:r>
          </w:p>
          <w:p w:rsidR="5961EC82" w:rsidRPr="00055A4C" w:rsidRDefault="00A6474B" w:rsidP="00A6474B">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101</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5A7CD3">
            <w:pPr>
              <w:spacing w:line="276" w:lineRule="auto"/>
              <w:rPr>
                <w:rFonts w:ascii="Times New Roman" w:eastAsia="Times New Roman" w:hAnsi="Times New Roman"/>
                <w:sz w:val="24"/>
                <w:szCs w:val="24"/>
              </w:rPr>
            </w:pPr>
          </w:p>
          <w:p w:rsidR="5961EC82" w:rsidRDefault="00A6474B" w:rsidP="00055A4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3316</w:t>
            </w:r>
          </w:p>
          <w:p w:rsidR="00A6474B" w:rsidRPr="00055A4C" w:rsidRDefault="00A6474B" w:rsidP="00055A4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5291</w:t>
            </w: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58</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00140909" w:rsidP="00055A4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38,5</w:t>
            </w:r>
          </w:p>
          <w:p w:rsidR="5961EC82" w:rsidRPr="00055A4C" w:rsidRDefault="00140909" w:rsidP="00140909">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42,6</w:t>
            </w:r>
          </w:p>
        </w:tc>
      </w:tr>
      <w:tr w:rsidR="5961EC82" w:rsidRPr="00055A4C" w:rsidTr="005A7CD3">
        <w:tc>
          <w:tcPr>
            <w:tcW w:w="1951" w:type="dxa"/>
          </w:tcPr>
          <w:p w:rsidR="5961EC82" w:rsidRPr="00055A4C" w:rsidRDefault="005A7CD3" w:rsidP="00055A4C">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w:t>
            </w:r>
            <w:r w:rsidR="5961EC82" w:rsidRPr="00055A4C">
              <w:rPr>
                <w:rFonts w:ascii="Times New Roman" w:eastAsia="Times New Roman" w:hAnsi="Times New Roman"/>
                <w:sz w:val="24"/>
                <w:szCs w:val="24"/>
              </w:rPr>
              <w:t>ведено юридическими лицами:</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кв. м</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зданий</w:t>
            </w:r>
          </w:p>
          <w:p w:rsidR="5961EC82" w:rsidRPr="00055A4C" w:rsidRDefault="5961EC82" w:rsidP="00055A4C">
            <w:pPr>
              <w:spacing w:line="276" w:lineRule="auto"/>
              <w:jc w:val="right"/>
              <w:rPr>
                <w:rFonts w:ascii="Times New Roman" w:eastAsia="Times New Roman" w:hAnsi="Times New Roman"/>
                <w:sz w:val="24"/>
                <w:szCs w:val="24"/>
              </w:rPr>
            </w:pPr>
            <w:r w:rsidRPr="00055A4C">
              <w:rPr>
                <w:rFonts w:ascii="Times New Roman" w:eastAsia="Times New Roman" w:hAnsi="Times New Roman"/>
                <w:sz w:val="24"/>
                <w:szCs w:val="24"/>
              </w:rPr>
              <w:t>квартир</w:t>
            </w:r>
          </w:p>
        </w:tc>
        <w:tc>
          <w:tcPr>
            <w:tcW w:w="1659" w:type="dxa"/>
          </w:tcPr>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w:t>
            </w:r>
          </w:p>
        </w:tc>
        <w:tc>
          <w:tcPr>
            <w:tcW w:w="1805" w:type="dxa"/>
          </w:tcPr>
          <w:p w:rsidR="5961EC82" w:rsidRPr="00055A4C" w:rsidRDefault="5961EC82"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005A7CD3" w:rsidRDefault="005A7CD3" w:rsidP="00055A4C">
            <w:pPr>
              <w:spacing w:line="276" w:lineRule="auto"/>
              <w:jc w:val="center"/>
              <w:rPr>
                <w:rFonts w:ascii="Times New Roman" w:eastAsia="Times New Roman" w:hAnsi="Times New Roman"/>
                <w:sz w:val="24"/>
                <w:szCs w:val="24"/>
              </w:rPr>
            </w:pPr>
          </w:p>
          <w:p w:rsidR="5961EC82" w:rsidRPr="00055A4C" w:rsidRDefault="5961EC82" w:rsidP="00055A4C">
            <w:pPr>
              <w:spacing w:line="276" w:lineRule="auto"/>
              <w:jc w:val="center"/>
              <w:rPr>
                <w:rFonts w:ascii="Times New Roman" w:eastAsia="Times New Roman" w:hAnsi="Times New Roman"/>
                <w:sz w:val="24"/>
                <w:szCs w:val="24"/>
              </w:rPr>
            </w:pPr>
            <w:r w:rsidRPr="00055A4C">
              <w:rPr>
                <w:rFonts w:ascii="Times New Roman" w:eastAsia="Times New Roman" w:hAnsi="Times New Roman"/>
                <w:sz w:val="24"/>
                <w:szCs w:val="24"/>
              </w:rPr>
              <w:t>0</w:t>
            </w:r>
          </w:p>
        </w:tc>
      </w:tr>
    </w:tbl>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Причинами </w:t>
      </w:r>
      <w:r w:rsidRPr="009C12A8">
        <w:rPr>
          <w:rFonts w:ascii="Times New Roman" w:eastAsia="Times New Roman" w:hAnsi="Times New Roman"/>
          <w:iCs/>
          <w:sz w:val="24"/>
          <w:szCs w:val="24"/>
        </w:rPr>
        <w:t>уменьшения</w:t>
      </w:r>
      <w:r w:rsidRPr="009C12A8">
        <w:rPr>
          <w:rFonts w:ascii="Times New Roman" w:eastAsia="Times New Roman" w:hAnsi="Times New Roman"/>
          <w:sz w:val="24"/>
          <w:szCs w:val="24"/>
        </w:rPr>
        <w:t xml:space="preserve"> объемов ввода является уменьшение количества вводимых зданий, в связи с внесением изменений в Градостроительный кодекс Российской Федерации (август 2018 </w:t>
      </w:r>
      <w:r w:rsidR="007649A8" w:rsidRPr="009C12A8">
        <w:rPr>
          <w:rFonts w:ascii="Times New Roman" w:eastAsia="Times New Roman" w:hAnsi="Times New Roman"/>
          <w:sz w:val="24"/>
          <w:szCs w:val="24"/>
        </w:rPr>
        <w:t>г.</w:t>
      </w:r>
      <w:r w:rsidRPr="009C12A8">
        <w:rPr>
          <w:rFonts w:ascii="Times New Roman" w:eastAsia="Times New Roman" w:hAnsi="Times New Roman"/>
          <w:sz w:val="24"/>
          <w:szCs w:val="24"/>
        </w:rPr>
        <w:t>) в части уведомлений о начале планируемого строительства и окончание строительства.</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На 01.07.2019 г. по причине аварийности снесено 0 кв. м. жилых помещений. </w:t>
      </w:r>
    </w:p>
    <w:p w:rsidR="004D2DF8" w:rsidRPr="009C12A8" w:rsidRDefault="5C066F03"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Жилой фонд МО «Чемальский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3226 ед. жилой площадью 168,4 тыс. кв. м.</w:t>
      </w:r>
    </w:p>
    <w:p w:rsidR="004D2DF8"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целях увеличения объема ввода жилых помещений и достижения плановых значений целевого показателя в 2019 г. проведены и планируются к реализации следующие мероприятия: проведение инвентаризации жилых помещений (жилых домов) с целью выявления не стоящих на кадастровом учете. Принятия мер понуждения по регистрации завершенных строительством жилых домов, ранее не зарегистрированных по результатам инвентаризации.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участков,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 Размещение на официальном сайте сведений о земельных участках, предназначенных для предоставления в аренду для индивидуального жилищного строительства. Проведение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водопроводные сети, объекты электроснабжения</w:t>
      </w:r>
      <w:r w:rsidR="00801088" w:rsidRPr="009C12A8">
        <w:rPr>
          <w:rFonts w:ascii="Times New Roman" w:eastAsia="Times New Roman" w:hAnsi="Times New Roman"/>
          <w:sz w:val="24"/>
          <w:szCs w:val="24"/>
        </w:rPr>
        <w:t>)</w:t>
      </w:r>
      <w:r w:rsidRPr="009C12A8">
        <w:rPr>
          <w:rFonts w:ascii="Times New Roman" w:eastAsia="Times New Roman" w:hAnsi="Times New Roman"/>
          <w:sz w:val="24"/>
          <w:szCs w:val="24"/>
        </w:rPr>
        <w:t>. Предоставление земельных участков под жилищное строительство, изъятых у предыдущих арендаторов.</w:t>
      </w:r>
    </w:p>
    <w:p w:rsidR="004D2DF8" w:rsidRPr="0064322B" w:rsidRDefault="004D2DF8" w:rsidP="00055A4C">
      <w:pPr>
        <w:spacing w:after="0"/>
        <w:ind w:firstLine="567"/>
        <w:jc w:val="both"/>
        <w:rPr>
          <w:rFonts w:ascii="Times New Roman" w:hAnsi="Times New Roman"/>
          <w:b/>
          <w:bCs/>
          <w:spacing w:val="2"/>
          <w:sz w:val="24"/>
          <w:szCs w:val="24"/>
        </w:rPr>
      </w:pPr>
      <w:r w:rsidRPr="0064322B">
        <w:rPr>
          <w:rFonts w:ascii="Times New Roman" w:hAnsi="Times New Roman"/>
          <w:b/>
          <w:bCs/>
          <w:spacing w:val="2"/>
          <w:sz w:val="24"/>
          <w:szCs w:val="24"/>
        </w:rPr>
        <w:t>4.3. Демографические показатели</w:t>
      </w:r>
    </w:p>
    <w:p w:rsidR="00E644F6" w:rsidRPr="009C12A8" w:rsidRDefault="00193506" w:rsidP="00055A4C">
      <w:pPr>
        <w:spacing w:after="0"/>
        <w:ind w:firstLine="567"/>
        <w:jc w:val="both"/>
        <w:rPr>
          <w:rFonts w:ascii="Times New Roman" w:hAnsi="Times New Roman"/>
          <w:sz w:val="24"/>
          <w:szCs w:val="24"/>
        </w:rPr>
      </w:pPr>
      <w:r w:rsidRPr="009C12A8">
        <w:rPr>
          <w:rFonts w:ascii="Times New Roman" w:hAnsi="Times New Roman"/>
          <w:spacing w:val="2"/>
          <w:sz w:val="24"/>
          <w:szCs w:val="24"/>
        </w:rPr>
        <w:t xml:space="preserve">На 01.01.2019 г. оценка численности постоянного населения в МО «Чемальский район» составила 10505 чел., что на 110 чел. или на 1,1 % </w:t>
      </w:r>
      <w:r w:rsidR="00E644F6" w:rsidRPr="009C12A8">
        <w:rPr>
          <w:rFonts w:ascii="Times New Roman" w:hAnsi="Times New Roman"/>
          <w:iCs/>
          <w:spacing w:val="2"/>
          <w:sz w:val="24"/>
          <w:szCs w:val="24"/>
        </w:rPr>
        <w:t>больше,</w:t>
      </w:r>
      <w:r w:rsidRPr="009C12A8">
        <w:rPr>
          <w:rFonts w:ascii="Times New Roman" w:hAnsi="Times New Roman"/>
          <w:spacing w:val="2"/>
          <w:sz w:val="24"/>
          <w:szCs w:val="24"/>
        </w:rPr>
        <w:t xml:space="preserve"> чем на 01.01.2018 г. (10395 чел.).</w:t>
      </w:r>
    </w:p>
    <w:tbl>
      <w:tblPr>
        <w:tblW w:w="9252" w:type="dxa"/>
        <w:tblInd w:w="108" w:type="dxa"/>
        <w:tblLayout w:type="fixed"/>
        <w:tblLook w:val="04A0"/>
      </w:tblPr>
      <w:tblGrid>
        <w:gridCol w:w="3616"/>
        <w:gridCol w:w="929"/>
        <w:gridCol w:w="1765"/>
        <w:gridCol w:w="1701"/>
        <w:gridCol w:w="1241"/>
      </w:tblGrid>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Показатели</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Ед. изм.</w:t>
            </w:r>
          </w:p>
        </w:tc>
        <w:tc>
          <w:tcPr>
            <w:tcW w:w="1765" w:type="dxa"/>
            <w:tcBorders>
              <w:top w:val="single" w:sz="4" w:space="0" w:color="000000" w:themeColor="text1"/>
              <w:left w:val="single" w:sz="4" w:space="0" w:color="000000" w:themeColor="text1"/>
              <w:bottom w:val="single" w:sz="4" w:space="0" w:color="000000" w:themeColor="text1"/>
              <w:right w:val="nil"/>
            </w:tcBorders>
            <w:hideMark/>
          </w:tcPr>
          <w:p w:rsidR="00E644F6"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 xml:space="preserve">на </w:t>
            </w:r>
          </w:p>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01.07.2018 г.</w:t>
            </w:r>
          </w:p>
        </w:tc>
        <w:tc>
          <w:tcPr>
            <w:tcW w:w="1701" w:type="dxa"/>
            <w:tcBorders>
              <w:top w:val="single" w:sz="4" w:space="0" w:color="000000" w:themeColor="text1"/>
              <w:left w:val="single" w:sz="4" w:space="0" w:color="000000" w:themeColor="text1"/>
              <w:bottom w:val="single" w:sz="4" w:space="0" w:color="000000" w:themeColor="text1"/>
              <w:right w:val="nil"/>
            </w:tcBorders>
            <w:hideMark/>
          </w:tcPr>
          <w:p w:rsidR="00E644F6"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 xml:space="preserve">на </w:t>
            </w:r>
          </w:p>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01.07.2019 г.</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Темп роста, %</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lastRenderedPageBreak/>
              <w:t>Численность постоянного населения (на 01.01.2019 г.)</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10395</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10505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101,1</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Родившиеся</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81</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73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90,1</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Умершие</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60</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50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83,3</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в т.ч. смертность населения от внешних причин</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100,0</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Естественный прирост населения (на 1000 чел. населения)</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4,1</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3,5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85,4</w:t>
            </w:r>
          </w:p>
        </w:tc>
      </w:tr>
      <w:tr w:rsidR="004D2DF8" w:rsidRPr="00055A4C" w:rsidTr="01873726">
        <w:trPr>
          <w:trHeight w:val="333"/>
        </w:trPr>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Прибыло</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322</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357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110,9</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Выбыло</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271</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273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100,7</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Миграционный прирост/убыль</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чел.</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51</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84</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164,7</w:t>
            </w:r>
          </w:p>
        </w:tc>
      </w:tr>
      <w:tr w:rsidR="004D2DF8" w:rsidRPr="00055A4C" w:rsidTr="01873726">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rPr>
                <w:rFonts w:ascii="Times New Roman" w:hAnsi="Times New Roman"/>
                <w:sz w:val="24"/>
                <w:szCs w:val="24"/>
              </w:rPr>
            </w:pPr>
            <w:r w:rsidRPr="00055A4C">
              <w:rPr>
                <w:rFonts w:ascii="Times New Roman" w:hAnsi="Times New Roman"/>
                <w:sz w:val="24"/>
                <w:szCs w:val="24"/>
              </w:rPr>
              <w:t>Число браков</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ед.</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30</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32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055A4C">
            <w:pPr>
              <w:snapToGrid w:val="0"/>
              <w:spacing w:after="0"/>
              <w:jc w:val="center"/>
              <w:rPr>
                <w:rFonts w:ascii="Times New Roman" w:hAnsi="Times New Roman"/>
                <w:sz w:val="24"/>
                <w:szCs w:val="24"/>
              </w:rPr>
            </w:pPr>
            <w:r w:rsidRPr="00055A4C">
              <w:rPr>
                <w:rFonts w:ascii="Times New Roman" w:hAnsi="Times New Roman"/>
                <w:sz w:val="24"/>
                <w:szCs w:val="24"/>
              </w:rPr>
              <w:t>106,7</w:t>
            </w:r>
          </w:p>
        </w:tc>
      </w:tr>
      <w:tr w:rsidR="004D2DF8" w:rsidRPr="00055A4C" w:rsidTr="01873726">
        <w:trPr>
          <w:trHeight w:val="70"/>
        </w:trPr>
        <w:tc>
          <w:tcPr>
            <w:tcW w:w="3616"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055A4C">
            <w:pPr>
              <w:snapToGrid w:val="0"/>
              <w:spacing w:after="0"/>
              <w:ind w:firstLine="567"/>
              <w:rPr>
                <w:rFonts w:ascii="Times New Roman" w:hAnsi="Times New Roman"/>
                <w:sz w:val="24"/>
                <w:szCs w:val="24"/>
              </w:rPr>
            </w:pPr>
            <w:r w:rsidRPr="00055A4C">
              <w:rPr>
                <w:rFonts w:ascii="Times New Roman" w:hAnsi="Times New Roman"/>
                <w:sz w:val="24"/>
                <w:szCs w:val="24"/>
              </w:rPr>
              <w:t>Число разводов</w:t>
            </w:r>
          </w:p>
        </w:tc>
        <w:tc>
          <w:tcPr>
            <w:tcW w:w="929" w:type="dxa"/>
            <w:tcBorders>
              <w:top w:val="single" w:sz="4" w:space="0" w:color="000000" w:themeColor="text1"/>
              <w:left w:val="single" w:sz="4" w:space="0" w:color="000000" w:themeColor="text1"/>
              <w:bottom w:val="single" w:sz="4" w:space="0" w:color="000000" w:themeColor="text1"/>
              <w:right w:val="nil"/>
            </w:tcBorders>
            <w:hideMark/>
          </w:tcPr>
          <w:p w:rsidR="004D2DF8" w:rsidRPr="00055A4C" w:rsidRDefault="01873726" w:rsidP="004A6B15">
            <w:pPr>
              <w:snapToGrid w:val="0"/>
              <w:spacing w:after="0"/>
              <w:rPr>
                <w:rFonts w:ascii="Times New Roman" w:hAnsi="Times New Roman"/>
                <w:sz w:val="24"/>
                <w:szCs w:val="24"/>
              </w:rPr>
            </w:pPr>
            <w:r w:rsidRPr="00055A4C">
              <w:rPr>
                <w:rFonts w:ascii="Times New Roman" w:hAnsi="Times New Roman"/>
                <w:sz w:val="24"/>
                <w:szCs w:val="24"/>
              </w:rPr>
              <w:t>ед.</w:t>
            </w:r>
          </w:p>
        </w:tc>
        <w:tc>
          <w:tcPr>
            <w:tcW w:w="1765"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4A6B15">
            <w:pPr>
              <w:snapToGrid w:val="0"/>
              <w:spacing w:after="0"/>
              <w:ind w:firstLine="567"/>
              <w:rPr>
                <w:rFonts w:ascii="Times New Roman" w:hAnsi="Times New Roman"/>
                <w:sz w:val="24"/>
                <w:szCs w:val="24"/>
              </w:rPr>
            </w:pPr>
            <w:r w:rsidRPr="00055A4C">
              <w:rPr>
                <w:rFonts w:ascii="Times New Roman" w:hAnsi="Times New Roman"/>
                <w:sz w:val="24"/>
                <w:szCs w:val="24"/>
              </w:rPr>
              <w:t>19</w:t>
            </w:r>
          </w:p>
        </w:tc>
        <w:tc>
          <w:tcPr>
            <w:tcW w:w="1701" w:type="dxa"/>
            <w:tcBorders>
              <w:top w:val="single" w:sz="4" w:space="0" w:color="000000" w:themeColor="text1"/>
              <w:left w:val="single" w:sz="4" w:space="0" w:color="000000" w:themeColor="text1"/>
              <w:bottom w:val="single" w:sz="4" w:space="0" w:color="000000" w:themeColor="text1"/>
              <w:right w:val="nil"/>
            </w:tcBorders>
          </w:tcPr>
          <w:p w:rsidR="004D2DF8" w:rsidRPr="00055A4C" w:rsidRDefault="01873726" w:rsidP="004A6B15">
            <w:pPr>
              <w:snapToGrid w:val="0"/>
              <w:spacing w:after="0"/>
              <w:ind w:firstLine="567"/>
              <w:rPr>
                <w:rFonts w:ascii="Times New Roman" w:hAnsi="Times New Roman"/>
                <w:sz w:val="24"/>
                <w:szCs w:val="24"/>
              </w:rPr>
            </w:pPr>
            <w:r w:rsidRPr="00055A4C">
              <w:rPr>
                <w:rFonts w:ascii="Times New Roman" w:hAnsi="Times New Roman"/>
                <w:sz w:val="24"/>
                <w:szCs w:val="24"/>
              </w:rPr>
              <w:t>16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DF8" w:rsidRPr="00055A4C" w:rsidRDefault="01873726" w:rsidP="004A6B15">
            <w:pPr>
              <w:snapToGrid w:val="0"/>
              <w:spacing w:after="0"/>
              <w:ind w:left="205"/>
              <w:rPr>
                <w:rFonts w:ascii="Times New Roman" w:hAnsi="Times New Roman"/>
                <w:sz w:val="24"/>
                <w:szCs w:val="24"/>
              </w:rPr>
            </w:pPr>
            <w:r w:rsidRPr="00055A4C">
              <w:rPr>
                <w:rFonts w:ascii="Times New Roman" w:hAnsi="Times New Roman"/>
                <w:sz w:val="24"/>
                <w:szCs w:val="24"/>
              </w:rPr>
              <w:t>84,2</w:t>
            </w:r>
          </w:p>
        </w:tc>
      </w:tr>
    </w:tbl>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На 01.07.2019 г. родилось 73 чел., что на 8 детей </w:t>
      </w:r>
      <w:r w:rsidRPr="009C12A8">
        <w:rPr>
          <w:rFonts w:ascii="Times New Roman" w:eastAsia="Times New Roman" w:hAnsi="Times New Roman"/>
          <w:iCs/>
          <w:sz w:val="24"/>
          <w:szCs w:val="24"/>
        </w:rPr>
        <w:t>меньше</w:t>
      </w:r>
      <w:r w:rsidRPr="009C12A8">
        <w:rPr>
          <w:rFonts w:ascii="Times New Roman" w:eastAsia="Times New Roman" w:hAnsi="Times New Roman"/>
          <w:sz w:val="24"/>
          <w:szCs w:val="24"/>
        </w:rPr>
        <w:t>, чем на 01.07.2018 г. (81 детей). С</w:t>
      </w:r>
      <w:r w:rsidRPr="009C12A8">
        <w:rPr>
          <w:rFonts w:ascii="Times New Roman" w:eastAsia="Times New Roman" w:hAnsi="Times New Roman"/>
          <w:iCs/>
          <w:sz w:val="24"/>
          <w:szCs w:val="24"/>
        </w:rPr>
        <w:t>нижение</w:t>
      </w:r>
      <w:r w:rsidRPr="009C12A8">
        <w:rPr>
          <w:rFonts w:ascii="Times New Roman" w:eastAsia="Times New Roman" w:hAnsi="Times New Roman"/>
          <w:sz w:val="24"/>
          <w:szCs w:val="24"/>
        </w:rPr>
        <w:t xml:space="preserve"> обусловлено сокращением числа женщин детородного возраста.</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темпа роста числа родившихся на (-) 10,6 процентных пункта.</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связана со снижением количества женщин репродуктивного возраста, увеличения количества семей, откладывающих рождение ребенка на более поздний период вследствие нестабильности в стране и неуверенности в завтрашнем дне.</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Показатель естественного прироста в расчете на 1000 населения на 01.07.2019 г. составил 3,5, что </w:t>
      </w:r>
      <w:r w:rsidRPr="009C12A8">
        <w:rPr>
          <w:rFonts w:ascii="Times New Roman" w:eastAsia="Times New Roman" w:hAnsi="Times New Roman"/>
          <w:iCs/>
          <w:sz w:val="24"/>
          <w:szCs w:val="24"/>
        </w:rPr>
        <w:t>ниже</w:t>
      </w:r>
      <w:r w:rsidRPr="009C12A8">
        <w:rPr>
          <w:rFonts w:ascii="Times New Roman" w:eastAsia="Times New Roman" w:hAnsi="Times New Roman"/>
          <w:sz w:val="24"/>
          <w:szCs w:val="24"/>
        </w:rPr>
        <w:t xml:space="preserve"> уровня на 01.07.2018 г. на 14,6% (на 01.07.2018 г</w:t>
      </w:r>
      <w:r w:rsidR="006941B6"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- 4,1). С</w:t>
      </w:r>
      <w:r w:rsidRPr="009C12A8">
        <w:rPr>
          <w:rFonts w:ascii="Times New Roman" w:eastAsia="Times New Roman" w:hAnsi="Times New Roman"/>
          <w:iCs/>
          <w:sz w:val="24"/>
          <w:szCs w:val="24"/>
        </w:rPr>
        <w:t>нижение</w:t>
      </w:r>
      <w:r w:rsidRPr="009C12A8">
        <w:rPr>
          <w:rFonts w:ascii="Times New Roman" w:eastAsia="Times New Roman" w:hAnsi="Times New Roman"/>
          <w:sz w:val="24"/>
          <w:szCs w:val="24"/>
        </w:rPr>
        <w:t xml:space="preserve"> показателя естественного прироста </w:t>
      </w:r>
      <w:r w:rsidRPr="009C12A8">
        <w:rPr>
          <w:rFonts w:ascii="Times New Roman" w:eastAsia="Times New Roman" w:hAnsi="Times New Roman"/>
          <w:iCs/>
          <w:sz w:val="24"/>
          <w:szCs w:val="24"/>
        </w:rPr>
        <w:t xml:space="preserve">сформировался </w:t>
      </w:r>
      <w:r w:rsidRPr="009C12A8">
        <w:rPr>
          <w:rFonts w:ascii="Times New Roman" w:eastAsia="Times New Roman" w:hAnsi="Times New Roman"/>
          <w:sz w:val="24"/>
          <w:szCs w:val="24"/>
        </w:rPr>
        <w:t xml:space="preserve">за счет снижения рождаемости к прошлому </w:t>
      </w:r>
      <w:r w:rsidR="007649A8" w:rsidRPr="009C12A8">
        <w:rPr>
          <w:rFonts w:ascii="Times New Roman" w:eastAsia="Times New Roman" w:hAnsi="Times New Roman"/>
          <w:sz w:val="24"/>
          <w:szCs w:val="24"/>
        </w:rPr>
        <w:t>г</w:t>
      </w:r>
      <w:r w:rsidR="00A07FCF" w:rsidRPr="009C12A8">
        <w:rPr>
          <w:rFonts w:ascii="Times New Roman" w:eastAsia="Times New Roman" w:hAnsi="Times New Roman"/>
          <w:sz w:val="24"/>
          <w:szCs w:val="24"/>
        </w:rPr>
        <w:t>од</w:t>
      </w:r>
      <w:r w:rsidRPr="009C12A8">
        <w:rPr>
          <w:rFonts w:ascii="Times New Roman" w:eastAsia="Times New Roman" w:hAnsi="Times New Roman"/>
          <w:sz w:val="24"/>
          <w:szCs w:val="24"/>
        </w:rPr>
        <w:t>у.</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Смертность населения на 01.07.2019 г. по отношению к уровню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w:t>
      </w:r>
      <w:r w:rsidRPr="009C12A8">
        <w:rPr>
          <w:rFonts w:ascii="Times New Roman" w:eastAsia="Times New Roman" w:hAnsi="Times New Roman"/>
          <w:iCs/>
          <w:sz w:val="24"/>
          <w:szCs w:val="24"/>
        </w:rPr>
        <w:t>снизилась</w:t>
      </w:r>
      <w:r w:rsidRPr="009C12A8">
        <w:rPr>
          <w:rFonts w:ascii="Times New Roman" w:eastAsia="Times New Roman" w:hAnsi="Times New Roman"/>
          <w:sz w:val="24"/>
          <w:szCs w:val="24"/>
        </w:rPr>
        <w:t xml:space="preserve"> на 5 чел. или на 8,3% (01.07.2019 г.-</w:t>
      </w:r>
      <w:r w:rsidR="006941B6" w:rsidRPr="009C12A8">
        <w:rPr>
          <w:rFonts w:ascii="Times New Roman" w:eastAsia="Times New Roman" w:hAnsi="Times New Roman"/>
          <w:sz w:val="24"/>
          <w:szCs w:val="24"/>
        </w:rPr>
        <w:t xml:space="preserve"> </w:t>
      </w:r>
      <w:r w:rsidRPr="009C12A8">
        <w:rPr>
          <w:rFonts w:ascii="Times New Roman" w:eastAsia="Times New Roman" w:hAnsi="Times New Roman"/>
          <w:sz w:val="24"/>
          <w:szCs w:val="24"/>
        </w:rPr>
        <w:t>60 чел.). Снижение обусловлено сокращением смертности от инфекционных и паразитарных болезней.</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Основными причинами смертности по основным классам причин смертности являются: </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-болезней системы кровообращений - 34 чел. (46,6 % от всех случаев смерти);</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-новообразования - 9 чел. (12,3% от всех случаев смерти) и т.д.</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Смертность населения от внешних причин на 01.07.2019 г. - 6 чел., на уровне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сравнении с планом на 01.07.2019 г. отмечено отклонение уровня смертности населения от внешних причин на (+) 0,1 процентных пункта.</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Причина отклонения от планового значения связана с тем, что смертность населения от внешних причин осталась на прежнем уровне.</w:t>
      </w:r>
    </w:p>
    <w:p w:rsidR="00055A4C"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Для снижения смертности, в том числе по причине самоубийств, проведены следующие мероприятия: </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1) в образовательных учреждениях проведены встречи психологической службы управления образования с родителями, педагогами, учащимися о профилактике </w:t>
      </w:r>
      <w:r w:rsidRPr="009C12A8">
        <w:rPr>
          <w:rFonts w:ascii="Times New Roman" w:eastAsia="Times New Roman" w:hAnsi="Times New Roman"/>
          <w:sz w:val="24"/>
          <w:szCs w:val="24"/>
        </w:rPr>
        <w:lastRenderedPageBreak/>
        <w:t>самоубийств и своевременном обращении родителей о признаках психологического расстройства детей к психологам;</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2) разработан план мероприятий по работе с педагогическими коллективами, разработаны рекомендации по работе с родителями в период проведения ЕГЭ и ЕГЭ;</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3) даны рекомендации центру занятости населения по активизации работы и расширения направлений по самозанятости населения в районе;</w:t>
      </w:r>
    </w:p>
    <w:p w:rsidR="5961EC82" w:rsidRPr="009C12A8" w:rsidRDefault="5961EC82"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4) обеспечен максимальный охват детей организованными оздоровительными программами в летний период.</w:t>
      </w:r>
    </w:p>
    <w:p w:rsidR="004D2DF8" w:rsidRPr="009C12A8" w:rsidRDefault="01873726" w:rsidP="00055A4C">
      <w:pPr>
        <w:spacing w:after="0"/>
        <w:ind w:firstLine="567"/>
        <w:jc w:val="both"/>
        <w:rPr>
          <w:rFonts w:ascii="Times New Roman" w:hAnsi="Times New Roman"/>
          <w:sz w:val="24"/>
          <w:szCs w:val="24"/>
        </w:rPr>
      </w:pPr>
      <w:r w:rsidRPr="009C12A8">
        <w:rPr>
          <w:rFonts w:ascii="Times New Roman" w:hAnsi="Times New Roman"/>
          <w:sz w:val="24"/>
          <w:szCs w:val="24"/>
        </w:rPr>
        <w:t xml:space="preserve">Одним из факторов </w:t>
      </w:r>
      <w:r w:rsidRPr="009C12A8">
        <w:rPr>
          <w:rFonts w:ascii="Times New Roman" w:hAnsi="Times New Roman"/>
          <w:iCs/>
          <w:sz w:val="24"/>
          <w:szCs w:val="24"/>
        </w:rPr>
        <w:t xml:space="preserve">роста </w:t>
      </w:r>
      <w:r w:rsidRPr="009C12A8">
        <w:rPr>
          <w:rFonts w:ascii="Times New Roman" w:hAnsi="Times New Roman"/>
          <w:sz w:val="24"/>
          <w:szCs w:val="24"/>
        </w:rPr>
        <w:t xml:space="preserve">численности населения является миграционный прирост. Число прибывших на 01.07.2019 г. составило 357 чел., что на 10,9 % </w:t>
      </w:r>
      <w:r w:rsidRPr="009C12A8">
        <w:rPr>
          <w:rFonts w:ascii="Times New Roman" w:hAnsi="Times New Roman"/>
          <w:iCs/>
          <w:sz w:val="24"/>
          <w:szCs w:val="24"/>
        </w:rPr>
        <w:t>выше</w:t>
      </w:r>
      <w:r w:rsidRPr="009C12A8">
        <w:rPr>
          <w:rFonts w:ascii="Times New Roman" w:hAnsi="Times New Roman"/>
          <w:sz w:val="24"/>
          <w:szCs w:val="24"/>
        </w:rPr>
        <w:t xml:space="preserve"> аналогичного периода прошлого </w:t>
      </w:r>
      <w:r w:rsidR="00205189" w:rsidRPr="009C12A8">
        <w:rPr>
          <w:rFonts w:ascii="Times New Roman" w:hAnsi="Times New Roman"/>
          <w:sz w:val="24"/>
          <w:szCs w:val="24"/>
        </w:rPr>
        <w:t>года</w:t>
      </w:r>
      <w:r w:rsidRPr="009C12A8">
        <w:rPr>
          <w:rFonts w:ascii="Times New Roman" w:hAnsi="Times New Roman"/>
          <w:sz w:val="24"/>
          <w:szCs w:val="24"/>
        </w:rPr>
        <w:t xml:space="preserve"> (на 01.07.2018 г-322 чел.). Число выбывших на 01.07.2019 г. составило 273 чел., что на 0,7 % </w:t>
      </w:r>
      <w:r w:rsidRPr="009C12A8">
        <w:rPr>
          <w:rFonts w:ascii="Times New Roman" w:hAnsi="Times New Roman"/>
          <w:iCs/>
          <w:sz w:val="24"/>
          <w:szCs w:val="24"/>
        </w:rPr>
        <w:t>выше</w:t>
      </w:r>
      <w:r w:rsidRPr="009C12A8">
        <w:rPr>
          <w:rFonts w:ascii="Times New Roman" w:hAnsi="Times New Roman"/>
          <w:sz w:val="24"/>
          <w:szCs w:val="24"/>
        </w:rPr>
        <w:t xml:space="preserve"> аналогичного периода прошлого </w:t>
      </w:r>
      <w:r w:rsidR="00205189" w:rsidRPr="009C12A8">
        <w:rPr>
          <w:rFonts w:ascii="Times New Roman" w:hAnsi="Times New Roman"/>
          <w:sz w:val="24"/>
          <w:szCs w:val="24"/>
        </w:rPr>
        <w:t>года</w:t>
      </w:r>
      <w:r w:rsidRPr="009C12A8">
        <w:rPr>
          <w:rFonts w:ascii="Times New Roman" w:hAnsi="Times New Roman"/>
          <w:sz w:val="24"/>
          <w:szCs w:val="24"/>
        </w:rPr>
        <w:t xml:space="preserve"> (на 01.07.2018</w:t>
      </w:r>
      <w:r w:rsidR="00DA0279" w:rsidRPr="009C12A8">
        <w:rPr>
          <w:rFonts w:ascii="Times New Roman" w:hAnsi="Times New Roman"/>
          <w:sz w:val="24"/>
          <w:szCs w:val="24"/>
        </w:rPr>
        <w:t xml:space="preserve"> </w:t>
      </w:r>
      <w:r w:rsidRPr="009C12A8">
        <w:rPr>
          <w:rFonts w:ascii="Times New Roman" w:hAnsi="Times New Roman"/>
          <w:sz w:val="24"/>
          <w:szCs w:val="24"/>
        </w:rPr>
        <w:t xml:space="preserve">г.-271 чел.). Миграционный прирост на 01.07.2019 г. составил 84 чел., что на 64,7 % </w:t>
      </w:r>
      <w:r w:rsidRPr="009C12A8">
        <w:rPr>
          <w:rFonts w:ascii="Times New Roman" w:hAnsi="Times New Roman"/>
          <w:iCs/>
          <w:sz w:val="24"/>
          <w:szCs w:val="24"/>
        </w:rPr>
        <w:t xml:space="preserve">выше </w:t>
      </w:r>
      <w:r w:rsidRPr="009C12A8">
        <w:rPr>
          <w:rFonts w:ascii="Times New Roman" w:hAnsi="Times New Roman"/>
          <w:sz w:val="24"/>
          <w:szCs w:val="24"/>
        </w:rPr>
        <w:t xml:space="preserve">аналогичного периода прошлого </w:t>
      </w:r>
      <w:r w:rsidR="00205189" w:rsidRPr="009C12A8">
        <w:rPr>
          <w:rFonts w:ascii="Times New Roman" w:hAnsi="Times New Roman"/>
          <w:sz w:val="24"/>
          <w:szCs w:val="24"/>
        </w:rPr>
        <w:t>года</w:t>
      </w:r>
      <w:r w:rsidRPr="009C12A8">
        <w:rPr>
          <w:rFonts w:ascii="Times New Roman" w:hAnsi="Times New Roman"/>
          <w:sz w:val="24"/>
          <w:szCs w:val="24"/>
        </w:rPr>
        <w:t xml:space="preserve"> (на 01.07.2019 г-51 чел.).</w:t>
      </w:r>
    </w:p>
    <w:p w:rsidR="004D2DF8"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hAnsi="Times New Roman"/>
          <w:sz w:val="24"/>
          <w:szCs w:val="24"/>
        </w:rPr>
        <w:t xml:space="preserve">Число браков на 01.07.2019 г. </w:t>
      </w:r>
      <w:r w:rsidRPr="009C12A8">
        <w:rPr>
          <w:rFonts w:ascii="Times New Roman" w:hAnsi="Times New Roman"/>
          <w:iCs/>
          <w:sz w:val="24"/>
          <w:szCs w:val="24"/>
        </w:rPr>
        <w:t>увеличилось</w:t>
      </w:r>
      <w:r w:rsidRPr="009C12A8">
        <w:rPr>
          <w:rFonts w:ascii="Times New Roman" w:hAnsi="Times New Roman"/>
          <w:sz w:val="24"/>
          <w:szCs w:val="24"/>
        </w:rPr>
        <w:t xml:space="preserve"> на 6,7 %, число разводов </w:t>
      </w:r>
      <w:r w:rsidRPr="009C12A8">
        <w:rPr>
          <w:rFonts w:ascii="Times New Roman" w:hAnsi="Times New Roman"/>
          <w:iCs/>
          <w:sz w:val="24"/>
          <w:szCs w:val="24"/>
        </w:rPr>
        <w:t>снизилось</w:t>
      </w:r>
      <w:r w:rsidRPr="009C12A8">
        <w:rPr>
          <w:rFonts w:ascii="Times New Roman" w:hAnsi="Times New Roman"/>
          <w:sz w:val="24"/>
          <w:szCs w:val="24"/>
        </w:rPr>
        <w:t xml:space="preserve"> на 15,8 %. На динамику числа браков и разводов оказали влияние следующие факторы:</w:t>
      </w:r>
      <w:r w:rsidR="0064322B">
        <w:rPr>
          <w:rFonts w:ascii="Times New Roman" w:hAnsi="Times New Roman"/>
          <w:sz w:val="24"/>
          <w:szCs w:val="24"/>
        </w:rPr>
        <w:t xml:space="preserve"> </w:t>
      </w:r>
      <w:r w:rsidRPr="009C12A8">
        <w:rPr>
          <w:rFonts w:ascii="Times New Roman" w:eastAsia="Times New Roman" w:hAnsi="Times New Roman"/>
          <w:sz w:val="24"/>
          <w:szCs w:val="24"/>
        </w:rPr>
        <w:t>равноправие хозяйственно-бытовых обязанностей; совместное принятие решений; сходство семейных ценностей; низкая конфликтность; уважение друг к другу.</w:t>
      </w:r>
    </w:p>
    <w:p w:rsidR="004D2DF8" w:rsidRPr="0064322B" w:rsidRDefault="004D2DF8" w:rsidP="00055A4C">
      <w:pPr>
        <w:spacing w:after="0"/>
        <w:ind w:firstLine="567"/>
        <w:jc w:val="both"/>
        <w:rPr>
          <w:rFonts w:ascii="Times New Roman" w:hAnsi="Times New Roman"/>
          <w:b/>
          <w:bCs/>
          <w:sz w:val="24"/>
          <w:szCs w:val="24"/>
        </w:rPr>
      </w:pPr>
      <w:r w:rsidRPr="0064322B">
        <w:rPr>
          <w:rFonts w:ascii="Times New Roman" w:hAnsi="Times New Roman"/>
          <w:b/>
          <w:bCs/>
          <w:sz w:val="24"/>
          <w:szCs w:val="24"/>
        </w:rPr>
        <w:t>4.4. Социальная сфера</w:t>
      </w:r>
    </w:p>
    <w:p w:rsidR="001D33F5" w:rsidRPr="009C12A8" w:rsidRDefault="5961EC82" w:rsidP="00055A4C">
      <w:pPr>
        <w:spacing w:after="0"/>
        <w:ind w:firstLine="567"/>
        <w:contextualSpacing/>
        <w:jc w:val="both"/>
        <w:rPr>
          <w:rFonts w:ascii="Times New Roman" w:hAnsi="Times New Roman"/>
          <w:bCs/>
          <w:sz w:val="24"/>
          <w:szCs w:val="24"/>
        </w:rPr>
      </w:pPr>
      <w:r w:rsidRPr="009C12A8">
        <w:rPr>
          <w:rFonts w:ascii="Times New Roman" w:hAnsi="Times New Roman"/>
          <w:bCs/>
          <w:iCs/>
          <w:sz w:val="24"/>
          <w:szCs w:val="24"/>
        </w:rPr>
        <w:t xml:space="preserve">Доступность дошкольного образования для детей в возрасте от 2-х месяцев до 3-х лет (отношение численности детей в возрасте от 2-х месяцев до 3-х лет, получающих дошкольное образование в текущем </w:t>
      </w:r>
      <w:r w:rsidR="007649A8" w:rsidRPr="009C12A8">
        <w:rPr>
          <w:rFonts w:ascii="Times New Roman" w:hAnsi="Times New Roman"/>
          <w:bCs/>
          <w:iCs/>
          <w:sz w:val="24"/>
          <w:szCs w:val="24"/>
        </w:rPr>
        <w:t>г</w:t>
      </w:r>
      <w:r w:rsidR="00DA0279" w:rsidRPr="009C12A8">
        <w:rPr>
          <w:rFonts w:ascii="Times New Roman" w:hAnsi="Times New Roman"/>
          <w:bCs/>
          <w:iCs/>
          <w:sz w:val="24"/>
          <w:szCs w:val="24"/>
        </w:rPr>
        <w:t>од</w:t>
      </w:r>
      <w:r w:rsidRPr="009C12A8">
        <w:rPr>
          <w:rFonts w:ascii="Times New Roman" w:hAnsi="Times New Roman"/>
          <w:bCs/>
          <w:iCs/>
          <w:sz w:val="24"/>
          <w:szCs w:val="24"/>
        </w:rPr>
        <w:t xml:space="preserve">у, к сумме численности детей в возрасте от 2-х месяцев до 3-х лет, получающих дошкольное образование в текущем </w:t>
      </w:r>
      <w:r w:rsidR="00DA0279" w:rsidRPr="009C12A8">
        <w:rPr>
          <w:rFonts w:ascii="Times New Roman" w:hAnsi="Times New Roman"/>
          <w:bCs/>
          <w:iCs/>
          <w:sz w:val="24"/>
          <w:szCs w:val="24"/>
        </w:rPr>
        <w:t>год</w:t>
      </w:r>
      <w:r w:rsidRPr="009C12A8">
        <w:rPr>
          <w:rFonts w:ascii="Times New Roman" w:hAnsi="Times New Roman"/>
          <w:bCs/>
          <w:iCs/>
          <w:sz w:val="24"/>
          <w:szCs w:val="24"/>
        </w:rPr>
        <w:t xml:space="preserve">у, и численности детей от 2-х месяцев до 3-х лет, находящихся в очереди на получение в текущем </w:t>
      </w:r>
      <w:r w:rsidR="007649A8" w:rsidRPr="009C12A8">
        <w:rPr>
          <w:rFonts w:ascii="Times New Roman" w:hAnsi="Times New Roman"/>
          <w:bCs/>
          <w:iCs/>
          <w:sz w:val="24"/>
          <w:szCs w:val="24"/>
        </w:rPr>
        <w:t>г</w:t>
      </w:r>
      <w:r w:rsidR="00DA0279" w:rsidRPr="009C12A8">
        <w:rPr>
          <w:rFonts w:ascii="Times New Roman" w:hAnsi="Times New Roman"/>
          <w:bCs/>
          <w:iCs/>
          <w:sz w:val="24"/>
          <w:szCs w:val="24"/>
        </w:rPr>
        <w:t>од</w:t>
      </w:r>
      <w:r w:rsidRPr="009C12A8">
        <w:rPr>
          <w:rFonts w:ascii="Times New Roman" w:hAnsi="Times New Roman"/>
          <w:bCs/>
          <w:iCs/>
          <w:sz w:val="24"/>
          <w:szCs w:val="24"/>
        </w:rPr>
        <w:t>у дошкольного образования</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Дошкольное образование на 01.07.2019 г. включает 3 дошкольных образовательных учреждений (3 муниципальных дошкольных образовательных организаций и 0 частных детских садов), 5 дошкольных групп при 5 общеобразовательных учреждениях. Как альтернативная мера предоставления услуг дошкольного образования за период с начала 2019 г. функционировало(а) 5 групп(а) кратковременного пребывания дошкольников д</w:t>
      </w:r>
      <w:r w:rsidR="006941B6" w:rsidRPr="009C12A8">
        <w:rPr>
          <w:rFonts w:ascii="Times New Roman" w:eastAsia="Times New Roman" w:hAnsi="Times New Roman"/>
          <w:sz w:val="24"/>
          <w:szCs w:val="24"/>
        </w:rPr>
        <w:t>ля детей в возрасте 4 – 7 лет.</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обеспечено местами в ДОУ 22 ребенка. Актуальная очередность детей в возрасте от 2-х месяцев до 3 лет на 01.07.</w:t>
      </w:r>
      <w:r w:rsidR="006941B6" w:rsidRPr="009C12A8">
        <w:rPr>
          <w:rFonts w:ascii="Times New Roman" w:eastAsia="Times New Roman" w:hAnsi="Times New Roman"/>
          <w:sz w:val="24"/>
          <w:szCs w:val="24"/>
        </w:rPr>
        <w:t>2019 г. составляет 61 ребенок.</w:t>
      </w:r>
    </w:p>
    <w:p w:rsidR="00DA0279"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На 01.07.2019 г. доступность дошкольного образования для детей в возрасте от 2-х месяцев до 3-х лет составляет 13,4 % от потребности в услугах дошкольного образования, что </w:t>
      </w:r>
      <w:r w:rsidRPr="009C12A8">
        <w:rPr>
          <w:rFonts w:ascii="Times New Roman" w:eastAsia="Times New Roman" w:hAnsi="Times New Roman"/>
          <w:iCs/>
          <w:sz w:val="24"/>
          <w:szCs w:val="24"/>
        </w:rPr>
        <w:t>меньше</w:t>
      </w:r>
      <w:r w:rsidRPr="009C12A8">
        <w:rPr>
          <w:rFonts w:ascii="Times New Roman" w:eastAsia="Times New Roman" w:hAnsi="Times New Roman"/>
          <w:sz w:val="24"/>
          <w:szCs w:val="24"/>
        </w:rPr>
        <w:t xml:space="preserve"> планового значения показателя на 01.07.2019 г. на 71,6 % процентных пункта. </w:t>
      </w:r>
    </w:p>
    <w:p w:rsidR="5961EC82" w:rsidRPr="009C12A8" w:rsidRDefault="1BBCC3CE"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целях обеспечения достижения целевого показателя на 01.07.2019 г. проведены следующие мероприятия: </w:t>
      </w:r>
    </w:p>
    <w:p w:rsidR="5961EC82" w:rsidRPr="009C12A8" w:rsidRDefault="006941B6"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1) </w:t>
      </w:r>
      <w:r w:rsidR="1BBCC3CE" w:rsidRPr="009C12A8">
        <w:rPr>
          <w:rFonts w:ascii="Times New Roman" w:eastAsia="Times New Roman" w:hAnsi="Times New Roman"/>
          <w:sz w:val="24"/>
          <w:szCs w:val="24"/>
        </w:rPr>
        <w:t>с</w:t>
      </w:r>
      <w:r w:rsidR="009C12A8">
        <w:rPr>
          <w:rFonts w:ascii="Times New Roman" w:eastAsia="Times New Roman" w:hAnsi="Times New Roman"/>
          <w:sz w:val="24"/>
          <w:szCs w:val="24"/>
        </w:rPr>
        <w:t>троительство детского сада в с.</w:t>
      </w:r>
      <w:r w:rsidR="1BBCC3CE" w:rsidRPr="009C12A8">
        <w:rPr>
          <w:rFonts w:ascii="Times New Roman" w:eastAsia="Times New Roman" w:hAnsi="Times New Roman"/>
          <w:sz w:val="24"/>
          <w:szCs w:val="24"/>
        </w:rPr>
        <w:t>Чемал;</w:t>
      </w:r>
    </w:p>
    <w:p w:rsidR="5961EC82" w:rsidRPr="009C12A8" w:rsidRDefault="006941B6" w:rsidP="00055A4C">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2) </w:t>
      </w:r>
      <w:r w:rsidR="1BBCC3CE" w:rsidRPr="009C12A8">
        <w:rPr>
          <w:rFonts w:ascii="Times New Roman" w:eastAsia="Times New Roman" w:hAnsi="Times New Roman"/>
          <w:sz w:val="24"/>
          <w:szCs w:val="24"/>
        </w:rPr>
        <w:t>открытие семейно-воспитательных групп;</w:t>
      </w:r>
    </w:p>
    <w:p w:rsidR="5961EC82" w:rsidRPr="009C12A8" w:rsidRDefault="1BBCC3CE"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3) откры</w:t>
      </w:r>
      <w:r w:rsidR="009C12A8">
        <w:rPr>
          <w:rFonts w:ascii="Times New Roman" w:eastAsia="Times New Roman" w:hAnsi="Times New Roman"/>
          <w:sz w:val="24"/>
          <w:szCs w:val="24"/>
        </w:rPr>
        <w:t>тие частного детского сада в с.</w:t>
      </w:r>
      <w:r w:rsidRPr="009C12A8">
        <w:rPr>
          <w:rFonts w:ascii="Times New Roman" w:eastAsia="Times New Roman" w:hAnsi="Times New Roman"/>
          <w:sz w:val="24"/>
          <w:szCs w:val="24"/>
        </w:rPr>
        <w:t>Аюла.</w:t>
      </w:r>
    </w:p>
    <w:p w:rsidR="001D33F5" w:rsidRPr="009C12A8" w:rsidRDefault="5961EC82" w:rsidP="00AB1FEA">
      <w:pPr>
        <w:spacing w:after="0"/>
        <w:ind w:firstLine="567"/>
        <w:jc w:val="both"/>
        <w:rPr>
          <w:rFonts w:ascii="Times New Roman" w:hAnsi="Times New Roman"/>
          <w:bCs/>
          <w:sz w:val="24"/>
          <w:szCs w:val="24"/>
        </w:rPr>
      </w:pPr>
      <w:r w:rsidRPr="009C12A8">
        <w:rPr>
          <w:rFonts w:ascii="Times New Roman" w:hAnsi="Times New Roman"/>
          <w:bCs/>
          <w:iCs/>
          <w:sz w:val="24"/>
          <w:szCs w:val="24"/>
        </w:rPr>
        <w:lastRenderedPageBreak/>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5961EC82" w:rsidRPr="009C12A8" w:rsidRDefault="5961EC82"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На 01.07.2019 г. в МО «Чемальский район» функционируют следующие учреждения дополнительного образования: МУ ДО «Чемальский Дом детского творчества», МУ ДОД «Чемальская детско-юношеская спортивная школа, МБУ ДО «Чемальская школа искусств».</w:t>
      </w:r>
    </w:p>
    <w:p w:rsidR="5961EC82" w:rsidRPr="009C12A8" w:rsidRDefault="5961EC82"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Доля детей в возрасте от 5 до 18 лет, получающих услуги по дополнительному образованию, от общего количества детей в возрасте от 5 до 18 лет по состоянию на 01.07.2019 г. составляет 54 %, что больше аналогичного периода прошлого </w:t>
      </w:r>
      <w:r w:rsidR="00205189" w:rsidRPr="009C12A8">
        <w:rPr>
          <w:rFonts w:ascii="Times New Roman" w:eastAsia="Times New Roman" w:hAnsi="Times New Roman"/>
          <w:sz w:val="24"/>
          <w:szCs w:val="24"/>
        </w:rPr>
        <w:t>года</w:t>
      </w:r>
      <w:r w:rsidRPr="009C12A8">
        <w:rPr>
          <w:rFonts w:ascii="Times New Roman" w:eastAsia="Times New Roman" w:hAnsi="Times New Roman"/>
          <w:sz w:val="24"/>
          <w:szCs w:val="24"/>
        </w:rPr>
        <w:t xml:space="preserve"> на 1 процентный пункт (на 01.07.2018 г. - 53 %). </w:t>
      </w:r>
    </w:p>
    <w:p w:rsidR="5961EC82" w:rsidRPr="009C12A8" w:rsidRDefault="5961EC82"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В сравнении с планом на 01.07.2019 г. отмечено снижение доли детей в возрасте от 5 до 18 лет, получающих услуги по дополнительному образованию, от общего количества детей в возрасте от 5 до 18 лет, на 6 процентных пункта. </w:t>
      </w:r>
    </w:p>
    <w:p w:rsidR="5961EC82" w:rsidRPr="009C12A8" w:rsidRDefault="5961EC82"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В целях обеспечения достижения целевого показателя муниципальным образованием «МО Чемальский район» проведены следующие мероприятия: открытие спортивных секций (самбо, бассейн) и творческих объединений (экологической и художественной направленности).</w:t>
      </w:r>
    </w:p>
    <w:p w:rsidR="004D2DF8" w:rsidRPr="0064322B" w:rsidRDefault="01873726" w:rsidP="0064322B">
      <w:pPr>
        <w:suppressAutoHyphens/>
        <w:spacing w:after="0"/>
        <w:ind w:firstLine="567"/>
        <w:jc w:val="center"/>
        <w:rPr>
          <w:rFonts w:ascii="Times New Roman" w:eastAsia="Times New Roman" w:hAnsi="Times New Roman"/>
          <w:b/>
          <w:bCs/>
          <w:sz w:val="24"/>
          <w:szCs w:val="24"/>
          <w:lang w:eastAsia="ar-SA"/>
        </w:rPr>
      </w:pPr>
      <w:r w:rsidRPr="0064322B">
        <w:rPr>
          <w:rFonts w:ascii="Times New Roman" w:eastAsia="Times New Roman" w:hAnsi="Times New Roman"/>
          <w:b/>
          <w:bCs/>
          <w:sz w:val="24"/>
          <w:szCs w:val="24"/>
          <w:lang w:eastAsia="ar-SA"/>
        </w:rPr>
        <w:t xml:space="preserve">Раздел </w:t>
      </w:r>
      <w:r w:rsidRPr="0064322B">
        <w:rPr>
          <w:rFonts w:ascii="Times New Roman" w:eastAsia="Times New Roman" w:hAnsi="Times New Roman"/>
          <w:b/>
          <w:bCs/>
          <w:sz w:val="24"/>
          <w:szCs w:val="24"/>
          <w:lang w:val="en-US" w:eastAsia="ar-SA"/>
        </w:rPr>
        <w:t>V</w:t>
      </w:r>
      <w:r w:rsidRPr="0064322B">
        <w:rPr>
          <w:rFonts w:ascii="Times New Roman" w:eastAsia="Times New Roman" w:hAnsi="Times New Roman"/>
          <w:b/>
          <w:bCs/>
          <w:sz w:val="24"/>
          <w:szCs w:val="24"/>
          <w:lang w:eastAsia="ar-SA"/>
        </w:rPr>
        <w:t>. Развитие института оценки регулирующего воздействия</w:t>
      </w:r>
    </w:p>
    <w:p w:rsidR="01873726" w:rsidRPr="009C12A8" w:rsidRDefault="01873726"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 xml:space="preserve">На 01.07.2019 г. общий балл по оценке регулирующего воздействия (ОРВ) составил 4 балла. </w:t>
      </w:r>
    </w:p>
    <w:p w:rsidR="006941B6" w:rsidRPr="009C12A8" w:rsidRDefault="01873726" w:rsidP="006941B6">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Институт ОРВ внедрен:</w:t>
      </w:r>
    </w:p>
    <w:p w:rsidR="01873726" w:rsidRPr="009C12A8" w:rsidRDefault="005A7CD3" w:rsidP="006941B6">
      <w:pPr>
        <w:spacing w:after="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о</w:t>
      </w:r>
      <w:r w:rsidR="01873726" w:rsidRPr="009C12A8">
        <w:rPr>
          <w:rFonts w:ascii="Times New Roman" w:eastAsia="Times New Roman" w:hAnsi="Times New Roman"/>
          <w:iCs/>
          <w:sz w:val="24"/>
          <w:szCs w:val="24"/>
        </w:rPr>
        <w:t>пределено ответственное структурное подразделение</w:t>
      </w:r>
      <w:r w:rsidR="01873726" w:rsidRPr="009C12A8">
        <w:rPr>
          <w:rFonts w:ascii="Times New Roman" w:eastAsia="Times New Roman" w:hAnsi="Times New Roman"/>
          <w:sz w:val="24"/>
          <w:szCs w:val="24"/>
        </w:rPr>
        <w:t xml:space="preserve"> за внедрение и развитие ОРВ-отдел прогнозирования и экономического развития администрации Чемальского района;</w:t>
      </w:r>
    </w:p>
    <w:p w:rsidR="01873726" w:rsidRPr="009C12A8" w:rsidRDefault="1BBCC3CE"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iCs/>
          <w:sz w:val="24"/>
          <w:szCs w:val="24"/>
        </w:rPr>
        <w:t>порядок проведения ОРВ и экспертизы</w:t>
      </w:r>
      <w:r w:rsidRPr="009C12A8">
        <w:rPr>
          <w:rFonts w:ascii="Times New Roman" w:eastAsia="Times New Roman" w:hAnsi="Times New Roman"/>
          <w:sz w:val="24"/>
          <w:szCs w:val="24"/>
        </w:rPr>
        <w:t xml:space="preserve"> регламентированы Постановлением администрации Чемальского района № 143 от 24.09.2015 г.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1873726" w:rsidRPr="009C12A8" w:rsidRDefault="1BBCC3CE"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Постановление Администрации Чемальского</w:t>
      </w:r>
      <w:r w:rsidR="00DA0279" w:rsidRPr="009C12A8">
        <w:rPr>
          <w:rFonts w:ascii="Times New Roman" w:eastAsia="Times New Roman" w:hAnsi="Times New Roman"/>
          <w:sz w:val="24"/>
          <w:szCs w:val="24"/>
        </w:rPr>
        <w:t xml:space="preserve"> района № 91 от 01.07.2019 г. </w:t>
      </w:r>
      <w:r w:rsidRPr="009C12A8">
        <w:rPr>
          <w:rFonts w:ascii="Times New Roman" w:eastAsia="Times New Roman" w:hAnsi="Times New Roman"/>
          <w:sz w:val="24"/>
          <w:szCs w:val="24"/>
        </w:rPr>
        <w:t xml:space="preserve">«О внесении изменений и дополнений в постановление №143 от 24.09.2015 г. </w:t>
      </w:r>
      <w:r w:rsidR="00A355E4">
        <w:rPr>
          <w:rFonts w:ascii="Times New Roman" w:eastAsia="Times New Roman" w:hAnsi="Times New Roman"/>
          <w:sz w:val="24"/>
          <w:szCs w:val="24"/>
        </w:rPr>
        <w:t>«</w:t>
      </w:r>
      <w:r w:rsidRPr="009C12A8">
        <w:rPr>
          <w:rFonts w:ascii="Times New Roman" w:eastAsia="Times New Roman" w:hAnsi="Times New Roman"/>
          <w:sz w:val="24"/>
          <w:szCs w:val="24"/>
        </w:rPr>
        <w:t>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порядка проведения экспертизы муниципальных НПА, затрагивающих вопросы осуществления предпринимательской и инвестиционной деятельности».</w:t>
      </w:r>
    </w:p>
    <w:p w:rsidR="01873726" w:rsidRPr="009C12A8" w:rsidRDefault="1BBCC3CE"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За первое полу</w:t>
      </w:r>
      <w:r w:rsidR="00205189" w:rsidRPr="009C12A8">
        <w:rPr>
          <w:rFonts w:ascii="Times New Roman" w:eastAsia="Times New Roman" w:hAnsi="Times New Roman"/>
          <w:sz w:val="24"/>
          <w:szCs w:val="24"/>
        </w:rPr>
        <w:t>годие</w:t>
      </w:r>
      <w:r w:rsidRPr="009C12A8">
        <w:rPr>
          <w:rFonts w:ascii="Times New Roman" w:eastAsia="Times New Roman" w:hAnsi="Times New Roman"/>
          <w:sz w:val="24"/>
          <w:szCs w:val="24"/>
        </w:rPr>
        <w:t xml:space="preserve"> 2019 </w:t>
      </w:r>
      <w:r w:rsidR="00205189" w:rsidRPr="009C12A8">
        <w:rPr>
          <w:rFonts w:ascii="Times New Roman" w:eastAsia="Times New Roman" w:hAnsi="Times New Roman"/>
          <w:sz w:val="24"/>
          <w:szCs w:val="24"/>
        </w:rPr>
        <w:t>г.</w:t>
      </w:r>
      <w:r w:rsidRPr="009C12A8">
        <w:rPr>
          <w:rFonts w:ascii="Times New Roman" w:eastAsia="Times New Roman" w:hAnsi="Times New Roman"/>
          <w:sz w:val="24"/>
          <w:szCs w:val="24"/>
        </w:rPr>
        <w:t xml:space="preserve"> ОРВ и экспертиза не проводилась. Так как вносились изменения в Постановление администрации Чемальского района № 143 от 24.09.2015 г.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Порядок проведения </w:t>
      </w:r>
      <w:r w:rsidRPr="009C12A8">
        <w:rPr>
          <w:rFonts w:ascii="Times New Roman" w:eastAsia="Times New Roman" w:hAnsi="Times New Roman"/>
          <w:sz w:val="24"/>
          <w:szCs w:val="24"/>
        </w:rPr>
        <w:lastRenderedPageBreak/>
        <w:t xml:space="preserve">экспертизы муниципальных нормативных правовых актов, затрагивающих вопросы осуществления предпринимательской и инвестиционной деятельности» проходил процедуру согласования с районной прокуратурой. </w:t>
      </w:r>
    </w:p>
    <w:p w:rsidR="01873726" w:rsidRPr="009C12A8" w:rsidRDefault="01873726" w:rsidP="00AB1FEA">
      <w:pPr>
        <w:spacing w:after="0"/>
        <w:ind w:firstLine="567"/>
        <w:jc w:val="both"/>
        <w:rPr>
          <w:rFonts w:ascii="Times New Roman" w:eastAsia="Times New Roman" w:hAnsi="Times New Roman"/>
          <w:sz w:val="24"/>
          <w:szCs w:val="24"/>
        </w:rPr>
      </w:pPr>
      <w:r w:rsidRPr="009C12A8">
        <w:rPr>
          <w:rFonts w:ascii="Times New Roman" w:eastAsia="Times New Roman" w:hAnsi="Times New Roman"/>
          <w:sz w:val="24"/>
          <w:szCs w:val="24"/>
        </w:rPr>
        <w:t>За отчетный период реализованы мероприятия, которые позволили повысить уровень осведомленности предпринимательского сообщества: принято решение о привлечении предпринимателей членов Координационного совета по развитию малого и среднего предпринимательства и по улучшению инвестиционного климата Чемальского района при администрации района.</w:t>
      </w:r>
    </w:p>
    <w:p w:rsidR="01873726" w:rsidRPr="00055A4C" w:rsidRDefault="01873726" w:rsidP="006941B6">
      <w:pPr>
        <w:spacing w:after="0"/>
        <w:jc w:val="both"/>
        <w:rPr>
          <w:rFonts w:ascii="Times New Roman" w:eastAsia="Times New Roman" w:hAnsi="Times New Roman"/>
          <w:sz w:val="24"/>
          <w:szCs w:val="24"/>
          <w:lang w:eastAsia="ar-SA"/>
        </w:rPr>
      </w:pPr>
    </w:p>
    <w:sectPr w:rsidR="01873726" w:rsidRPr="00055A4C" w:rsidSect="00B90235">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CE" w:rsidRDefault="00B442CE" w:rsidP="00D57793">
      <w:pPr>
        <w:spacing w:after="0" w:line="240" w:lineRule="auto"/>
      </w:pPr>
      <w:r>
        <w:separator/>
      </w:r>
    </w:p>
  </w:endnote>
  <w:endnote w:type="continuationSeparator" w:id="1">
    <w:p w:rsidR="00B442CE" w:rsidRDefault="00B442CE" w:rsidP="00D57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r Richard">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CE" w:rsidRDefault="00B442CE" w:rsidP="00D57793">
      <w:pPr>
        <w:spacing w:after="0" w:line="240" w:lineRule="auto"/>
      </w:pPr>
      <w:r>
        <w:separator/>
      </w:r>
    </w:p>
  </w:footnote>
  <w:footnote w:type="continuationSeparator" w:id="1">
    <w:p w:rsidR="00B442CE" w:rsidRDefault="00B442CE" w:rsidP="00D57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34863"/>
    <w:multiLevelType w:val="hybridMultilevel"/>
    <w:tmpl w:val="5AC0E6C2"/>
    <w:lvl w:ilvl="0" w:tplc="1932D634">
      <w:start w:val="1"/>
      <w:numFmt w:val="bullet"/>
      <w:lvlText w:val=""/>
      <w:lvlJc w:val="left"/>
      <w:pPr>
        <w:tabs>
          <w:tab w:val="num" w:pos="1778"/>
        </w:tabs>
        <w:ind w:left="1778" w:hanging="360"/>
      </w:pPr>
      <w:rPr>
        <w:rFonts w:ascii="Symbol" w:hAnsi="Symbol" w:cs="Symbol" w:hint="default"/>
      </w:rPr>
    </w:lvl>
    <w:lvl w:ilvl="1" w:tplc="204A07FC">
      <w:start w:val="1"/>
      <w:numFmt w:val="bullet"/>
      <w:lvlText w:val=""/>
      <w:lvlJc w:val="left"/>
      <w:pPr>
        <w:tabs>
          <w:tab w:val="num" w:pos="1440"/>
        </w:tabs>
        <w:ind w:left="1440" w:hanging="360"/>
      </w:pPr>
      <w:rPr>
        <w:rFonts w:ascii="Wingdings" w:hAnsi="Wingdings" w:cs="Wingdings" w:hint="default"/>
      </w:rPr>
    </w:lvl>
    <w:lvl w:ilvl="2" w:tplc="CCDC92CA">
      <w:start w:val="1"/>
      <w:numFmt w:val="bullet"/>
      <w:lvlText w:val=""/>
      <w:lvlJc w:val="left"/>
      <w:pPr>
        <w:tabs>
          <w:tab w:val="num" w:pos="2160"/>
        </w:tabs>
        <w:ind w:left="2160" w:hanging="360"/>
      </w:pPr>
      <w:rPr>
        <w:rFonts w:ascii="Wingdings" w:hAnsi="Wingdings" w:cs="Wingdings" w:hint="default"/>
      </w:rPr>
    </w:lvl>
    <w:lvl w:ilvl="3" w:tplc="E38C0DB8">
      <w:start w:val="1"/>
      <w:numFmt w:val="bullet"/>
      <w:lvlText w:val=""/>
      <w:lvlJc w:val="left"/>
      <w:pPr>
        <w:tabs>
          <w:tab w:val="num" w:pos="2880"/>
        </w:tabs>
        <w:ind w:left="2880" w:hanging="360"/>
      </w:pPr>
      <w:rPr>
        <w:rFonts w:ascii="Wingdings" w:hAnsi="Wingdings" w:cs="Wingdings" w:hint="default"/>
      </w:rPr>
    </w:lvl>
    <w:lvl w:ilvl="4" w:tplc="B8CE298C">
      <w:start w:val="1"/>
      <w:numFmt w:val="bullet"/>
      <w:lvlText w:val=""/>
      <w:lvlJc w:val="left"/>
      <w:pPr>
        <w:tabs>
          <w:tab w:val="num" w:pos="3600"/>
        </w:tabs>
        <w:ind w:left="3600" w:hanging="360"/>
      </w:pPr>
      <w:rPr>
        <w:rFonts w:ascii="Wingdings" w:hAnsi="Wingdings" w:cs="Wingdings" w:hint="default"/>
      </w:rPr>
    </w:lvl>
    <w:lvl w:ilvl="5" w:tplc="2DC40F58">
      <w:start w:val="1"/>
      <w:numFmt w:val="bullet"/>
      <w:lvlText w:val=""/>
      <w:lvlJc w:val="left"/>
      <w:pPr>
        <w:tabs>
          <w:tab w:val="num" w:pos="4320"/>
        </w:tabs>
        <w:ind w:left="4320" w:hanging="360"/>
      </w:pPr>
      <w:rPr>
        <w:rFonts w:ascii="Wingdings" w:hAnsi="Wingdings" w:cs="Wingdings" w:hint="default"/>
      </w:rPr>
    </w:lvl>
    <w:lvl w:ilvl="6" w:tplc="00565C1C">
      <w:start w:val="1"/>
      <w:numFmt w:val="bullet"/>
      <w:lvlText w:val=""/>
      <w:lvlJc w:val="left"/>
      <w:pPr>
        <w:tabs>
          <w:tab w:val="num" w:pos="5040"/>
        </w:tabs>
        <w:ind w:left="5040" w:hanging="360"/>
      </w:pPr>
      <w:rPr>
        <w:rFonts w:ascii="Wingdings" w:hAnsi="Wingdings" w:cs="Wingdings" w:hint="default"/>
      </w:rPr>
    </w:lvl>
    <w:lvl w:ilvl="7" w:tplc="0E760090">
      <w:start w:val="1"/>
      <w:numFmt w:val="bullet"/>
      <w:lvlText w:val=""/>
      <w:lvlJc w:val="left"/>
      <w:pPr>
        <w:tabs>
          <w:tab w:val="num" w:pos="5760"/>
        </w:tabs>
        <w:ind w:left="5760" w:hanging="360"/>
      </w:pPr>
      <w:rPr>
        <w:rFonts w:ascii="Wingdings" w:hAnsi="Wingdings" w:cs="Wingdings" w:hint="default"/>
      </w:rPr>
    </w:lvl>
    <w:lvl w:ilvl="8" w:tplc="F6E8D8D2">
      <w:start w:val="1"/>
      <w:numFmt w:val="bullet"/>
      <w:lvlText w:val=""/>
      <w:lvlJc w:val="left"/>
      <w:pPr>
        <w:tabs>
          <w:tab w:val="num" w:pos="6480"/>
        </w:tabs>
        <w:ind w:left="6480" w:hanging="360"/>
      </w:pPr>
      <w:rPr>
        <w:rFonts w:ascii="Wingdings" w:hAnsi="Wingdings" w:cs="Wingdings" w:hint="default"/>
      </w:rPr>
    </w:lvl>
  </w:abstractNum>
  <w:abstractNum w:abstractNumId="1">
    <w:nsid w:val="329F2BDD"/>
    <w:multiLevelType w:val="hybridMultilevel"/>
    <w:tmpl w:val="D9E6E7D2"/>
    <w:lvl w:ilvl="0" w:tplc="246ED9F2">
      <w:start w:val="1"/>
      <w:numFmt w:val="bullet"/>
      <w:lvlText w:val="–"/>
      <w:lvlJc w:val="left"/>
      <w:pPr>
        <w:ind w:left="1428" w:hanging="360"/>
      </w:pPr>
      <w:rPr>
        <w:rFonts w:ascii="Poor Richard" w:hAnsi="Poor Richar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3E63209"/>
    <w:multiLevelType w:val="hybridMultilevel"/>
    <w:tmpl w:val="91BAF84C"/>
    <w:lvl w:ilvl="0" w:tplc="05724C42">
      <w:start w:val="1"/>
      <w:numFmt w:val="bullet"/>
      <w:lvlText w:val=""/>
      <w:lvlJc w:val="left"/>
      <w:pPr>
        <w:ind w:left="720" w:hanging="360"/>
      </w:pPr>
      <w:rPr>
        <w:rFonts w:ascii="Symbol" w:hAnsi="Symbol" w:hint="default"/>
      </w:rPr>
    </w:lvl>
    <w:lvl w:ilvl="1" w:tplc="E1E6F63E">
      <w:start w:val="1"/>
      <w:numFmt w:val="bullet"/>
      <w:lvlText w:val="o"/>
      <w:lvlJc w:val="left"/>
      <w:pPr>
        <w:ind w:left="1440" w:hanging="360"/>
      </w:pPr>
      <w:rPr>
        <w:rFonts w:ascii="Courier New" w:hAnsi="Courier New" w:hint="default"/>
      </w:rPr>
    </w:lvl>
    <w:lvl w:ilvl="2" w:tplc="6B0072DE">
      <w:start w:val="1"/>
      <w:numFmt w:val="bullet"/>
      <w:lvlText w:val=""/>
      <w:lvlJc w:val="left"/>
      <w:pPr>
        <w:ind w:left="2160" w:hanging="360"/>
      </w:pPr>
      <w:rPr>
        <w:rFonts w:ascii="Wingdings" w:hAnsi="Wingdings" w:hint="default"/>
      </w:rPr>
    </w:lvl>
    <w:lvl w:ilvl="3" w:tplc="23A8314C">
      <w:start w:val="1"/>
      <w:numFmt w:val="bullet"/>
      <w:lvlText w:val=""/>
      <w:lvlJc w:val="left"/>
      <w:pPr>
        <w:ind w:left="2880" w:hanging="360"/>
      </w:pPr>
      <w:rPr>
        <w:rFonts w:ascii="Symbol" w:hAnsi="Symbol" w:hint="default"/>
      </w:rPr>
    </w:lvl>
    <w:lvl w:ilvl="4" w:tplc="8D407344">
      <w:start w:val="1"/>
      <w:numFmt w:val="bullet"/>
      <w:lvlText w:val="o"/>
      <w:lvlJc w:val="left"/>
      <w:pPr>
        <w:ind w:left="3600" w:hanging="360"/>
      </w:pPr>
      <w:rPr>
        <w:rFonts w:ascii="Courier New" w:hAnsi="Courier New" w:hint="default"/>
      </w:rPr>
    </w:lvl>
    <w:lvl w:ilvl="5" w:tplc="63B8239E">
      <w:start w:val="1"/>
      <w:numFmt w:val="bullet"/>
      <w:lvlText w:val=""/>
      <w:lvlJc w:val="left"/>
      <w:pPr>
        <w:ind w:left="4320" w:hanging="360"/>
      </w:pPr>
      <w:rPr>
        <w:rFonts w:ascii="Wingdings" w:hAnsi="Wingdings" w:hint="default"/>
      </w:rPr>
    </w:lvl>
    <w:lvl w:ilvl="6" w:tplc="DFB01092">
      <w:start w:val="1"/>
      <w:numFmt w:val="bullet"/>
      <w:lvlText w:val=""/>
      <w:lvlJc w:val="left"/>
      <w:pPr>
        <w:ind w:left="5040" w:hanging="360"/>
      </w:pPr>
      <w:rPr>
        <w:rFonts w:ascii="Symbol" w:hAnsi="Symbol" w:hint="default"/>
      </w:rPr>
    </w:lvl>
    <w:lvl w:ilvl="7" w:tplc="2AFC7D84">
      <w:start w:val="1"/>
      <w:numFmt w:val="bullet"/>
      <w:lvlText w:val="o"/>
      <w:lvlJc w:val="left"/>
      <w:pPr>
        <w:ind w:left="5760" w:hanging="360"/>
      </w:pPr>
      <w:rPr>
        <w:rFonts w:ascii="Courier New" w:hAnsi="Courier New" w:hint="default"/>
      </w:rPr>
    </w:lvl>
    <w:lvl w:ilvl="8" w:tplc="9424C748">
      <w:start w:val="1"/>
      <w:numFmt w:val="bullet"/>
      <w:lvlText w:val=""/>
      <w:lvlJc w:val="left"/>
      <w:pPr>
        <w:ind w:left="6480" w:hanging="360"/>
      </w:pPr>
      <w:rPr>
        <w:rFonts w:ascii="Wingdings" w:hAnsi="Wingdings" w:hint="default"/>
      </w:rPr>
    </w:lvl>
  </w:abstractNum>
  <w:abstractNum w:abstractNumId="3">
    <w:nsid w:val="3E6D22AE"/>
    <w:multiLevelType w:val="hybridMultilevel"/>
    <w:tmpl w:val="522015FA"/>
    <w:lvl w:ilvl="0" w:tplc="7EA028B0">
      <w:start w:val="1"/>
      <w:numFmt w:val="bullet"/>
      <w:lvlText w:val=""/>
      <w:lvlJc w:val="left"/>
      <w:pPr>
        <w:ind w:left="720" w:hanging="360"/>
      </w:pPr>
      <w:rPr>
        <w:rFonts w:ascii="Symbol" w:hAnsi="Symbol" w:hint="default"/>
      </w:rPr>
    </w:lvl>
    <w:lvl w:ilvl="1" w:tplc="310E544A">
      <w:start w:val="1"/>
      <w:numFmt w:val="bullet"/>
      <w:lvlText w:val="o"/>
      <w:lvlJc w:val="left"/>
      <w:pPr>
        <w:ind w:left="1440" w:hanging="360"/>
      </w:pPr>
      <w:rPr>
        <w:rFonts w:ascii="Courier New" w:hAnsi="Courier New" w:hint="default"/>
      </w:rPr>
    </w:lvl>
    <w:lvl w:ilvl="2" w:tplc="031814DE">
      <w:start w:val="1"/>
      <w:numFmt w:val="bullet"/>
      <w:lvlText w:val=""/>
      <w:lvlJc w:val="left"/>
      <w:pPr>
        <w:ind w:left="2160" w:hanging="360"/>
      </w:pPr>
      <w:rPr>
        <w:rFonts w:ascii="Wingdings" w:hAnsi="Wingdings" w:hint="default"/>
      </w:rPr>
    </w:lvl>
    <w:lvl w:ilvl="3" w:tplc="C9E87F58">
      <w:start w:val="1"/>
      <w:numFmt w:val="bullet"/>
      <w:lvlText w:val=""/>
      <w:lvlJc w:val="left"/>
      <w:pPr>
        <w:ind w:left="2880" w:hanging="360"/>
      </w:pPr>
      <w:rPr>
        <w:rFonts w:ascii="Symbol" w:hAnsi="Symbol" w:hint="default"/>
      </w:rPr>
    </w:lvl>
    <w:lvl w:ilvl="4" w:tplc="D0A26BF4">
      <w:start w:val="1"/>
      <w:numFmt w:val="bullet"/>
      <w:lvlText w:val="o"/>
      <w:lvlJc w:val="left"/>
      <w:pPr>
        <w:ind w:left="3600" w:hanging="360"/>
      </w:pPr>
      <w:rPr>
        <w:rFonts w:ascii="Courier New" w:hAnsi="Courier New" w:hint="default"/>
      </w:rPr>
    </w:lvl>
    <w:lvl w:ilvl="5" w:tplc="CAD83D8A">
      <w:start w:val="1"/>
      <w:numFmt w:val="bullet"/>
      <w:lvlText w:val=""/>
      <w:lvlJc w:val="left"/>
      <w:pPr>
        <w:ind w:left="4320" w:hanging="360"/>
      </w:pPr>
      <w:rPr>
        <w:rFonts w:ascii="Wingdings" w:hAnsi="Wingdings" w:hint="default"/>
      </w:rPr>
    </w:lvl>
    <w:lvl w:ilvl="6" w:tplc="64A8ED32">
      <w:start w:val="1"/>
      <w:numFmt w:val="bullet"/>
      <w:lvlText w:val=""/>
      <w:lvlJc w:val="left"/>
      <w:pPr>
        <w:ind w:left="5040" w:hanging="360"/>
      </w:pPr>
      <w:rPr>
        <w:rFonts w:ascii="Symbol" w:hAnsi="Symbol" w:hint="default"/>
      </w:rPr>
    </w:lvl>
    <w:lvl w:ilvl="7" w:tplc="2444A28C">
      <w:start w:val="1"/>
      <w:numFmt w:val="bullet"/>
      <w:lvlText w:val="o"/>
      <w:lvlJc w:val="left"/>
      <w:pPr>
        <w:ind w:left="5760" w:hanging="360"/>
      </w:pPr>
      <w:rPr>
        <w:rFonts w:ascii="Courier New" w:hAnsi="Courier New" w:hint="default"/>
      </w:rPr>
    </w:lvl>
    <w:lvl w:ilvl="8" w:tplc="77206642">
      <w:start w:val="1"/>
      <w:numFmt w:val="bullet"/>
      <w:lvlText w:val=""/>
      <w:lvlJc w:val="left"/>
      <w:pPr>
        <w:ind w:left="6480" w:hanging="360"/>
      </w:pPr>
      <w:rPr>
        <w:rFonts w:ascii="Wingdings" w:hAnsi="Wingdings" w:hint="default"/>
      </w:rPr>
    </w:lvl>
  </w:abstractNum>
  <w:abstractNum w:abstractNumId="4">
    <w:nsid w:val="579237D2"/>
    <w:multiLevelType w:val="hybridMultilevel"/>
    <w:tmpl w:val="594A029E"/>
    <w:lvl w:ilvl="0" w:tplc="BD84EE82">
      <w:start w:val="1"/>
      <w:numFmt w:val="bullet"/>
      <w:lvlText w:val=""/>
      <w:lvlJc w:val="left"/>
      <w:pPr>
        <w:ind w:left="720" w:hanging="360"/>
      </w:pPr>
      <w:rPr>
        <w:rFonts w:ascii="Symbol" w:hAnsi="Symbol" w:hint="default"/>
      </w:rPr>
    </w:lvl>
    <w:lvl w:ilvl="1" w:tplc="B74A1BAE">
      <w:start w:val="1"/>
      <w:numFmt w:val="bullet"/>
      <w:lvlText w:val="o"/>
      <w:lvlJc w:val="left"/>
      <w:pPr>
        <w:ind w:left="1440" w:hanging="360"/>
      </w:pPr>
      <w:rPr>
        <w:rFonts w:ascii="Courier New" w:hAnsi="Courier New" w:hint="default"/>
      </w:rPr>
    </w:lvl>
    <w:lvl w:ilvl="2" w:tplc="3A10E8A8">
      <w:start w:val="1"/>
      <w:numFmt w:val="bullet"/>
      <w:lvlText w:val=""/>
      <w:lvlJc w:val="left"/>
      <w:pPr>
        <w:ind w:left="2160" w:hanging="360"/>
      </w:pPr>
      <w:rPr>
        <w:rFonts w:ascii="Wingdings" w:hAnsi="Wingdings" w:hint="default"/>
      </w:rPr>
    </w:lvl>
    <w:lvl w:ilvl="3" w:tplc="00CCD5C8">
      <w:start w:val="1"/>
      <w:numFmt w:val="bullet"/>
      <w:lvlText w:val=""/>
      <w:lvlJc w:val="left"/>
      <w:pPr>
        <w:ind w:left="2880" w:hanging="360"/>
      </w:pPr>
      <w:rPr>
        <w:rFonts w:ascii="Symbol" w:hAnsi="Symbol" w:hint="default"/>
      </w:rPr>
    </w:lvl>
    <w:lvl w:ilvl="4" w:tplc="0DDE6B24">
      <w:start w:val="1"/>
      <w:numFmt w:val="bullet"/>
      <w:lvlText w:val="o"/>
      <w:lvlJc w:val="left"/>
      <w:pPr>
        <w:ind w:left="3600" w:hanging="360"/>
      </w:pPr>
      <w:rPr>
        <w:rFonts w:ascii="Courier New" w:hAnsi="Courier New" w:hint="default"/>
      </w:rPr>
    </w:lvl>
    <w:lvl w:ilvl="5" w:tplc="C9509A0A">
      <w:start w:val="1"/>
      <w:numFmt w:val="bullet"/>
      <w:lvlText w:val=""/>
      <w:lvlJc w:val="left"/>
      <w:pPr>
        <w:ind w:left="4320" w:hanging="360"/>
      </w:pPr>
      <w:rPr>
        <w:rFonts w:ascii="Wingdings" w:hAnsi="Wingdings" w:hint="default"/>
      </w:rPr>
    </w:lvl>
    <w:lvl w:ilvl="6" w:tplc="0238926E">
      <w:start w:val="1"/>
      <w:numFmt w:val="bullet"/>
      <w:lvlText w:val=""/>
      <w:lvlJc w:val="left"/>
      <w:pPr>
        <w:ind w:left="5040" w:hanging="360"/>
      </w:pPr>
      <w:rPr>
        <w:rFonts w:ascii="Symbol" w:hAnsi="Symbol" w:hint="default"/>
      </w:rPr>
    </w:lvl>
    <w:lvl w:ilvl="7" w:tplc="FE78DD1E">
      <w:start w:val="1"/>
      <w:numFmt w:val="bullet"/>
      <w:lvlText w:val="o"/>
      <w:lvlJc w:val="left"/>
      <w:pPr>
        <w:ind w:left="5760" w:hanging="360"/>
      </w:pPr>
      <w:rPr>
        <w:rFonts w:ascii="Courier New" w:hAnsi="Courier New" w:hint="default"/>
      </w:rPr>
    </w:lvl>
    <w:lvl w:ilvl="8" w:tplc="6108C3D6">
      <w:start w:val="1"/>
      <w:numFmt w:val="bullet"/>
      <w:lvlText w:val=""/>
      <w:lvlJc w:val="left"/>
      <w:pPr>
        <w:ind w:left="6480" w:hanging="360"/>
      </w:pPr>
      <w:rPr>
        <w:rFonts w:ascii="Wingdings" w:hAnsi="Wingdings" w:hint="default"/>
      </w:rPr>
    </w:lvl>
  </w:abstractNum>
  <w:abstractNum w:abstractNumId="5">
    <w:nsid w:val="60FC5C57"/>
    <w:multiLevelType w:val="hybridMultilevel"/>
    <w:tmpl w:val="9FD2ADE2"/>
    <w:lvl w:ilvl="0" w:tplc="66C8892C">
      <w:start w:val="1"/>
      <w:numFmt w:val="bullet"/>
      <w:lvlText w:val=""/>
      <w:lvlJc w:val="left"/>
      <w:pPr>
        <w:ind w:left="720" w:hanging="360"/>
      </w:pPr>
      <w:rPr>
        <w:rFonts w:ascii="Symbol" w:hAnsi="Symbol" w:hint="default"/>
      </w:rPr>
    </w:lvl>
    <w:lvl w:ilvl="1" w:tplc="E5EAC7D6">
      <w:start w:val="1"/>
      <w:numFmt w:val="bullet"/>
      <w:lvlText w:val="o"/>
      <w:lvlJc w:val="left"/>
      <w:pPr>
        <w:ind w:left="1440" w:hanging="360"/>
      </w:pPr>
      <w:rPr>
        <w:rFonts w:ascii="Courier New" w:hAnsi="Courier New" w:hint="default"/>
      </w:rPr>
    </w:lvl>
    <w:lvl w:ilvl="2" w:tplc="14A45392">
      <w:start w:val="1"/>
      <w:numFmt w:val="bullet"/>
      <w:lvlText w:val=""/>
      <w:lvlJc w:val="left"/>
      <w:pPr>
        <w:ind w:left="2160" w:hanging="360"/>
      </w:pPr>
      <w:rPr>
        <w:rFonts w:ascii="Wingdings" w:hAnsi="Wingdings" w:hint="default"/>
      </w:rPr>
    </w:lvl>
    <w:lvl w:ilvl="3" w:tplc="7FB0E01A">
      <w:start w:val="1"/>
      <w:numFmt w:val="bullet"/>
      <w:lvlText w:val=""/>
      <w:lvlJc w:val="left"/>
      <w:pPr>
        <w:ind w:left="2880" w:hanging="360"/>
      </w:pPr>
      <w:rPr>
        <w:rFonts w:ascii="Symbol" w:hAnsi="Symbol" w:hint="default"/>
      </w:rPr>
    </w:lvl>
    <w:lvl w:ilvl="4" w:tplc="BF50E1DC">
      <w:start w:val="1"/>
      <w:numFmt w:val="bullet"/>
      <w:lvlText w:val="o"/>
      <w:lvlJc w:val="left"/>
      <w:pPr>
        <w:ind w:left="3600" w:hanging="360"/>
      </w:pPr>
      <w:rPr>
        <w:rFonts w:ascii="Courier New" w:hAnsi="Courier New" w:hint="default"/>
      </w:rPr>
    </w:lvl>
    <w:lvl w:ilvl="5" w:tplc="67D4BD50">
      <w:start w:val="1"/>
      <w:numFmt w:val="bullet"/>
      <w:lvlText w:val=""/>
      <w:lvlJc w:val="left"/>
      <w:pPr>
        <w:ind w:left="4320" w:hanging="360"/>
      </w:pPr>
      <w:rPr>
        <w:rFonts w:ascii="Wingdings" w:hAnsi="Wingdings" w:hint="default"/>
      </w:rPr>
    </w:lvl>
    <w:lvl w:ilvl="6" w:tplc="2902B868">
      <w:start w:val="1"/>
      <w:numFmt w:val="bullet"/>
      <w:lvlText w:val=""/>
      <w:lvlJc w:val="left"/>
      <w:pPr>
        <w:ind w:left="5040" w:hanging="360"/>
      </w:pPr>
      <w:rPr>
        <w:rFonts w:ascii="Symbol" w:hAnsi="Symbol" w:hint="default"/>
      </w:rPr>
    </w:lvl>
    <w:lvl w:ilvl="7" w:tplc="19A8B554">
      <w:start w:val="1"/>
      <w:numFmt w:val="bullet"/>
      <w:lvlText w:val="o"/>
      <w:lvlJc w:val="left"/>
      <w:pPr>
        <w:ind w:left="5760" w:hanging="360"/>
      </w:pPr>
      <w:rPr>
        <w:rFonts w:ascii="Courier New" w:hAnsi="Courier New" w:hint="default"/>
      </w:rPr>
    </w:lvl>
    <w:lvl w:ilvl="8" w:tplc="EC1C8562">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22F7F"/>
    <w:rsid w:val="00025389"/>
    <w:rsid w:val="000412C6"/>
    <w:rsid w:val="00055A4C"/>
    <w:rsid w:val="000A46BB"/>
    <w:rsid w:val="000D0488"/>
    <w:rsid w:val="00113276"/>
    <w:rsid w:val="001371FD"/>
    <w:rsid w:val="00140909"/>
    <w:rsid w:val="00157702"/>
    <w:rsid w:val="001643E8"/>
    <w:rsid w:val="00193506"/>
    <w:rsid w:val="001B4CED"/>
    <w:rsid w:val="001D33F5"/>
    <w:rsid w:val="001E2510"/>
    <w:rsid w:val="00201F39"/>
    <w:rsid w:val="00205189"/>
    <w:rsid w:val="002138E4"/>
    <w:rsid w:val="00245777"/>
    <w:rsid w:val="00295724"/>
    <w:rsid w:val="00297BE5"/>
    <w:rsid w:val="002C595D"/>
    <w:rsid w:val="002D2627"/>
    <w:rsid w:val="00315D0C"/>
    <w:rsid w:val="00340208"/>
    <w:rsid w:val="00385270"/>
    <w:rsid w:val="003A5FDB"/>
    <w:rsid w:val="003C403C"/>
    <w:rsid w:val="003F5001"/>
    <w:rsid w:val="0041590B"/>
    <w:rsid w:val="00454AD1"/>
    <w:rsid w:val="00464381"/>
    <w:rsid w:val="0046640E"/>
    <w:rsid w:val="00482115"/>
    <w:rsid w:val="004A6B15"/>
    <w:rsid w:val="004D2DF8"/>
    <w:rsid w:val="004E3436"/>
    <w:rsid w:val="005030D5"/>
    <w:rsid w:val="005123FC"/>
    <w:rsid w:val="005A7CD3"/>
    <w:rsid w:val="005B41B6"/>
    <w:rsid w:val="005E5360"/>
    <w:rsid w:val="005F5540"/>
    <w:rsid w:val="00615D35"/>
    <w:rsid w:val="0064322B"/>
    <w:rsid w:val="00650238"/>
    <w:rsid w:val="00670C8B"/>
    <w:rsid w:val="00687BD3"/>
    <w:rsid w:val="006941B6"/>
    <w:rsid w:val="00696A1A"/>
    <w:rsid w:val="006A49D7"/>
    <w:rsid w:val="006B3F73"/>
    <w:rsid w:val="006F458B"/>
    <w:rsid w:val="00712067"/>
    <w:rsid w:val="007254A1"/>
    <w:rsid w:val="00743BE0"/>
    <w:rsid w:val="00756C63"/>
    <w:rsid w:val="007649A8"/>
    <w:rsid w:val="00790DF6"/>
    <w:rsid w:val="007930B4"/>
    <w:rsid w:val="007E1265"/>
    <w:rsid w:val="007E4349"/>
    <w:rsid w:val="00801088"/>
    <w:rsid w:val="008042F3"/>
    <w:rsid w:val="00806009"/>
    <w:rsid w:val="00823A54"/>
    <w:rsid w:val="00837A1B"/>
    <w:rsid w:val="00865CF6"/>
    <w:rsid w:val="00877852"/>
    <w:rsid w:val="008A3BFC"/>
    <w:rsid w:val="008B0B3A"/>
    <w:rsid w:val="008D7047"/>
    <w:rsid w:val="0095049D"/>
    <w:rsid w:val="00955AE1"/>
    <w:rsid w:val="00962FEE"/>
    <w:rsid w:val="00985245"/>
    <w:rsid w:val="009932F2"/>
    <w:rsid w:val="009B53A1"/>
    <w:rsid w:val="009C12A8"/>
    <w:rsid w:val="009E66BB"/>
    <w:rsid w:val="009F6848"/>
    <w:rsid w:val="00A01791"/>
    <w:rsid w:val="00A07FCF"/>
    <w:rsid w:val="00A24B8B"/>
    <w:rsid w:val="00A30554"/>
    <w:rsid w:val="00A355D1"/>
    <w:rsid w:val="00A355E4"/>
    <w:rsid w:val="00A6474B"/>
    <w:rsid w:val="00A772BB"/>
    <w:rsid w:val="00AB1FEA"/>
    <w:rsid w:val="00AF5E5B"/>
    <w:rsid w:val="00B063F9"/>
    <w:rsid w:val="00B1074D"/>
    <w:rsid w:val="00B1240C"/>
    <w:rsid w:val="00B12738"/>
    <w:rsid w:val="00B275E7"/>
    <w:rsid w:val="00B442CE"/>
    <w:rsid w:val="00B55222"/>
    <w:rsid w:val="00B758AD"/>
    <w:rsid w:val="00B90235"/>
    <w:rsid w:val="00B92E4E"/>
    <w:rsid w:val="00B96F8A"/>
    <w:rsid w:val="00BC4D42"/>
    <w:rsid w:val="00BE66FE"/>
    <w:rsid w:val="00C44737"/>
    <w:rsid w:val="00C57002"/>
    <w:rsid w:val="00C65BB0"/>
    <w:rsid w:val="00C9286B"/>
    <w:rsid w:val="00C93C49"/>
    <w:rsid w:val="00CC267D"/>
    <w:rsid w:val="00D173DD"/>
    <w:rsid w:val="00D57793"/>
    <w:rsid w:val="00D771B9"/>
    <w:rsid w:val="00D9333B"/>
    <w:rsid w:val="00DA0279"/>
    <w:rsid w:val="00DE6E83"/>
    <w:rsid w:val="00DF3630"/>
    <w:rsid w:val="00E03B6C"/>
    <w:rsid w:val="00E1163D"/>
    <w:rsid w:val="00E22F7F"/>
    <w:rsid w:val="00E644F6"/>
    <w:rsid w:val="00E76C00"/>
    <w:rsid w:val="00E8248C"/>
    <w:rsid w:val="00EA0320"/>
    <w:rsid w:val="00EB2455"/>
    <w:rsid w:val="00EC350C"/>
    <w:rsid w:val="00EC685A"/>
    <w:rsid w:val="00ED2C9D"/>
    <w:rsid w:val="00F101DA"/>
    <w:rsid w:val="00F22E17"/>
    <w:rsid w:val="00F925C0"/>
    <w:rsid w:val="00FD2601"/>
    <w:rsid w:val="00FE466B"/>
    <w:rsid w:val="01873726"/>
    <w:rsid w:val="0F2C6DF2"/>
    <w:rsid w:val="1AB1A024"/>
    <w:rsid w:val="1BBCC3CE"/>
    <w:rsid w:val="1C30B7CE"/>
    <w:rsid w:val="25F76B5B"/>
    <w:rsid w:val="2618B2B8"/>
    <w:rsid w:val="5961EC82"/>
    <w:rsid w:val="5C066F03"/>
    <w:rsid w:val="73F3F1CF"/>
    <w:rsid w:val="75C87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D2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5BB0"/>
    <w:pPr>
      <w:ind w:left="720"/>
      <w:contextualSpacing/>
    </w:pPr>
  </w:style>
  <w:style w:type="character" w:styleId="a5">
    <w:name w:val="Hyperlink"/>
    <w:basedOn w:val="a0"/>
    <w:uiPriority w:val="99"/>
    <w:unhideWhenUsed/>
    <w:rsid w:val="00C65BB0"/>
    <w:rPr>
      <w:color w:val="0000FF" w:themeColor="hyperlink"/>
      <w:u w:val="single"/>
    </w:rPr>
  </w:style>
  <w:style w:type="paragraph" w:styleId="a6">
    <w:name w:val="header"/>
    <w:basedOn w:val="a"/>
    <w:link w:val="a7"/>
    <w:uiPriority w:val="99"/>
    <w:semiHidden/>
    <w:unhideWhenUsed/>
    <w:rsid w:val="00D577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7793"/>
    <w:rPr>
      <w:rFonts w:ascii="Calibri" w:eastAsia="Calibri" w:hAnsi="Calibri" w:cs="Times New Roman"/>
    </w:rPr>
  </w:style>
  <w:style w:type="paragraph" w:styleId="a8">
    <w:name w:val="footer"/>
    <w:basedOn w:val="a"/>
    <w:link w:val="a9"/>
    <w:uiPriority w:val="99"/>
    <w:semiHidden/>
    <w:unhideWhenUsed/>
    <w:rsid w:val="00D577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577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D2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021193">
      <w:bodyDiv w:val="1"/>
      <w:marLeft w:val="0"/>
      <w:marRight w:val="0"/>
      <w:marTop w:val="0"/>
      <w:marBottom w:val="0"/>
      <w:divBdr>
        <w:top w:val="none" w:sz="0" w:space="0" w:color="auto"/>
        <w:left w:val="none" w:sz="0" w:space="0" w:color="auto"/>
        <w:bottom w:val="none" w:sz="0" w:space="0" w:color="auto"/>
        <w:right w:val="none" w:sz="0" w:space="0" w:color="auto"/>
      </w:divBdr>
    </w:div>
    <w:div w:id="812984615">
      <w:bodyDiv w:val="1"/>
      <w:marLeft w:val="0"/>
      <w:marRight w:val="0"/>
      <w:marTop w:val="0"/>
      <w:marBottom w:val="0"/>
      <w:divBdr>
        <w:top w:val="none" w:sz="0" w:space="0" w:color="auto"/>
        <w:left w:val="none" w:sz="0" w:space="0" w:color="auto"/>
        <w:bottom w:val="none" w:sz="0" w:space="0" w:color="auto"/>
        <w:right w:val="none" w:sz="0" w:space="0" w:color="auto"/>
      </w:divBdr>
    </w:div>
    <w:div w:id="1090199958">
      <w:bodyDiv w:val="1"/>
      <w:marLeft w:val="0"/>
      <w:marRight w:val="0"/>
      <w:marTop w:val="0"/>
      <w:marBottom w:val="0"/>
      <w:divBdr>
        <w:top w:val="none" w:sz="0" w:space="0" w:color="auto"/>
        <w:left w:val="none" w:sz="0" w:space="0" w:color="auto"/>
        <w:bottom w:val="none" w:sz="0" w:space="0" w:color="auto"/>
        <w:right w:val="none" w:sz="0" w:space="0" w:color="auto"/>
      </w:divBdr>
    </w:div>
    <w:div w:id="1340279096">
      <w:bodyDiv w:val="1"/>
      <w:marLeft w:val="0"/>
      <w:marRight w:val="0"/>
      <w:marTop w:val="0"/>
      <w:marBottom w:val="0"/>
      <w:divBdr>
        <w:top w:val="none" w:sz="0" w:space="0" w:color="auto"/>
        <w:left w:val="none" w:sz="0" w:space="0" w:color="auto"/>
        <w:bottom w:val="none" w:sz="0" w:space="0" w:color="auto"/>
        <w:right w:val="none" w:sz="0" w:space="0" w:color="auto"/>
      </w:divBdr>
    </w:div>
    <w:div w:id="13539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ay-ust-koksa.ru/tinybrowser/files/dokumenty/2016/06/09-06-2016/1-gornolyzhnyy-kompleks-s.ust-koksa-ul.severnaya-7a.doc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tay-ust-koksa.ru/tinybrowser/files/dokumenty/2016/06/09-06-2016/8-pasport-dlya-razmescheniya-skladov-s.ust-koksa-ul.sovhoznaya-25.docx" TargetMode="External"/><Relationship Id="rId4" Type="http://schemas.openxmlformats.org/officeDocument/2006/relationships/settings" Target="settings.xml"/><Relationship Id="rId9" Type="http://schemas.openxmlformats.org/officeDocument/2006/relationships/hyperlink" Target="http://altay-ust-koksa.ru/tinybrowser/files/dokumenty/2016/06/09-06-2016/1-gornolyzhnyy-kompleks-s.ust-koksa-ul.severnaya-7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DE9E-6305-4DD8-8675-2899239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Kandarakov</dc:creator>
  <cp:lastModifiedBy>11</cp:lastModifiedBy>
  <cp:revision>18</cp:revision>
  <dcterms:created xsi:type="dcterms:W3CDTF">2019-09-19T10:13:00Z</dcterms:created>
  <dcterms:modified xsi:type="dcterms:W3CDTF">2019-10-22T08:45:00Z</dcterms:modified>
</cp:coreProperties>
</file>